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AF3" w:rsidRPr="00144185" w:rsidRDefault="002A1AF3" w:rsidP="002A1AF3">
      <w:pPr>
        <w:pStyle w:val="BodyText3"/>
        <w:jc w:val="center"/>
        <w:rPr>
          <w:rFonts w:ascii="Arial" w:eastAsiaTheme="minorHAnsi" w:hAnsi="Arial" w:cs="Arial"/>
          <w:b/>
          <w:noProof/>
          <w:color w:val="000000" w:themeColor="text1"/>
          <w:szCs w:val="24"/>
          <w:lang w:val="bs-Latn-BA"/>
        </w:rPr>
      </w:pPr>
      <w:bookmarkStart w:id="0" w:name="_GoBack"/>
      <w:bookmarkEnd w:id="0"/>
      <w:r w:rsidRPr="00144185">
        <w:rPr>
          <w:rFonts w:ascii="Arial" w:eastAsiaTheme="minorHAnsi" w:hAnsi="Arial" w:cs="Arial"/>
          <w:b/>
          <w:noProof/>
          <w:color w:val="000000" w:themeColor="text1"/>
          <w:szCs w:val="24"/>
          <w:lang w:val="bs-Latn-BA"/>
        </w:rPr>
        <w:t>PRILOG II.</w:t>
      </w:r>
    </w:p>
    <w:p w:rsidR="002A1AF3" w:rsidRPr="00144185" w:rsidRDefault="002A1AF3" w:rsidP="002A1AF3">
      <w:pPr>
        <w:pStyle w:val="BodyText3"/>
        <w:jc w:val="center"/>
        <w:rPr>
          <w:rFonts w:ascii="Arial" w:eastAsiaTheme="minorHAnsi" w:hAnsi="Arial" w:cs="Arial"/>
          <w:b/>
          <w:noProof/>
          <w:color w:val="000000" w:themeColor="text1"/>
          <w:szCs w:val="24"/>
          <w:lang w:val="bs-Latn-BA"/>
        </w:rPr>
      </w:pPr>
    </w:p>
    <w:p w:rsidR="002A1AF3" w:rsidRPr="00144185" w:rsidRDefault="002A1AF3" w:rsidP="002A1AF3">
      <w:pPr>
        <w:pStyle w:val="BodyText3"/>
        <w:jc w:val="center"/>
        <w:rPr>
          <w:rFonts w:ascii="Arial" w:eastAsiaTheme="minorHAnsi" w:hAnsi="Arial" w:cs="Arial"/>
          <w:b/>
          <w:noProof/>
          <w:color w:val="000000" w:themeColor="text1"/>
          <w:szCs w:val="24"/>
          <w:lang w:val="bs-Latn-BA"/>
        </w:rPr>
      </w:pPr>
      <w:r w:rsidRPr="00144185">
        <w:rPr>
          <w:rFonts w:ascii="Arial" w:eastAsiaTheme="minorHAnsi" w:hAnsi="Arial" w:cs="Arial"/>
          <w:b/>
          <w:noProof/>
          <w:color w:val="000000" w:themeColor="text1"/>
          <w:szCs w:val="24"/>
          <w:lang w:val="bs-Latn-BA"/>
        </w:rPr>
        <w:t>Lista pogona i postrojenja za koje kantonalno ministarstvo izdaje okolinsku dozvolu</w:t>
      </w:r>
    </w:p>
    <w:p w:rsidR="002A1AF3" w:rsidRPr="00144185" w:rsidRDefault="002A1AF3" w:rsidP="002A1AF3">
      <w:pPr>
        <w:pStyle w:val="BodyText3"/>
        <w:rPr>
          <w:rFonts w:ascii="Arial" w:hAnsi="Arial" w:cs="Arial"/>
          <w:color w:val="000000" w:themeColor="text1"/>
          <w:szCs w:val="24"/>
          <w:lang w:val="bs-Latn-BA"/>
        </w:rPr>
      </w:pPr>
    </w:p>
    <w:p w:rsidR="002A1AF3" w:rsidRPr="00144185" w:rsidRDefault="002A1AF3" w:rsidP="002A1AF3">
      <w:pPr>
        <w:pStyle w:val="BodyText3"/>
        <w:rPr>
          <w:rFonts w:ascii="Arial" w:eastAsiaTheme="minorHAnsi" w:hAnsi="Arial" w:cs="Arial"/>
          <w:noProof/>
          <w:color w:val="000000" w:themeColor="text1"/>
          <w:szCs w:val="24"/>
          <w:lang w:val="bs-Latn-BA"/>
        </w:rPr>
      </w:pPr>
      <w:r w:rsidRPr="00144185">
        <w:rPr>
          <w:rFonts w:ascii="Arial" w:eastAsiaTheme="minorHAnsi" w:hAnsi="Arial" w:cs="Arial"/>
          <w:noProof/>
          <w:color w:val="000000" w:themeColor="text1"/>
          <w:szCs w:val="24"/>
          <w:lang w:val="bs-Latn-BA"/>
        </w:rPr>
        <w:t xml:space="preserve">Pogoni i postrojenja za koje kantonalno ministarstvo izdaje okolinsku dozvolu su: </w:t>
      </w:r>
    </w:p>
    <w:p w:rsidR="002A1AF3" w:rsidRPr="00144185" w:rsidRDefault="002A1AF3" w:rsidP="002A1AF3">
      <w:pPr>
        <w:pStyle w:val="BodyText3"/>
        <w:ind w:firstLine="360"/>
        <w:rPr>
          <w:rFonts w:ascii="Arial" w:eastAsiaTheme="minorHAnsi" w:hAnsi="Arial" w:cs="Arial"/>
          <w:b/>
          <w:noProof/>
          <w:color w:val="000000" w:themeColor="text1"/>
          <w:szCs w:val="24"/>
          <w:lang w:val="bs-Latn-BA"/>
        </w:rPr>
      </w:pPr>
    </w:p>
    <w:p w:rsidR="002A1AF3" w:rsidRPr="00144185" w:rsidRDefault="002A1AF3" w:rsidP="002A1AF3">
      <w:pPr>
        <w:spacing w:after="0" w:line="240" w:lineRule="auto"/>
        <w:jc w:val="both"/>
        <w:rPr>
          <w:rFonts w:ascii="Arial" w:hAnsi="Arial" w:cs="Arial"/>
          <w:b/>
          <w:noProof/>
          <w:color w:val="000000" w:themeColor="text1"/>
          <w:sz w:val="24"/>
          <w:szCs w:val="24"/>
          <w:lang w:val="bs-Latn-BA"/>
        </w:rPr>
      </w:pPr>
      <w:r w:rsidRPr="00144185">
        <w:rPr>
          <w:rFonts w:ascii="Arial" w:hAnsi="Arial" w:cs="Arial"/>
          <w:b/>
          <w:noProof/>
          <w:color w:val="000000" w:themeColor="text1"/>
          <w:sz w:val="24"/>
          <w:szCs w:val="24"/>
          <w:lang w:val="bs-Latn-BA"/>
        </w:rPr>
        <w:t xml:space="preserve">1. Energetika </w:t>
      </w:r>
    </w:p>
    <w:p w:rsidR="002A1AF3" w:rsidRPr="00144185" w:rsidRDefault="002A1AF3" w:rsidP="002A1AF3">
      <w:p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1.1. Sagorijevanje goriva u postrojenjima ukupne nazivne ulazne toplotne snage 10 MW</w:t>
      </w:r>
      <w:r w:rsidRPr="00144185">
        <w:rPr>
          <w:rFonts w:ascii="Arial" w:hAnsi="Arial" w:cs="Arial"/>
          <w:noProof/>
          <w:color w:val="000000" w:themeColor="text1"/>
          <w:sz w:val="24"/>
          <w:szCs w:val="24"/>
          <w:vertAlign w:val="subscript"/>
          <w:lang w:val="bs-Latn-BA"/>
        </w:rPr>
        <w:t>th</w:t>
      </w:r>
      <w:r w:rsidRPr="00144185">
        <w:rPr>
          <w:rFonts w:ascii="Arial" w:hAnsi="Arial" w:cs="Arial"/>
          <w:noProof/>
          <w:color w:val="000000" w:themeColor="text1"/>
          <w:sz w:val="24"/>
          <w:szCs w:val="24"/>
          <w:lang w:val="bs-Latn-BA"/>
        </w:rPr>
        <w:t xml:space="preserve"> do 100 MW</w:t>
      </w:r>
      <w:r w:rsidRPr="00144185">
        <w:rPr>
          <w:rFonts w:ascii="Arial" w:hAnsi="Arial" w:cs="Arial"/>
          <w:noProof/>
          <w:color w:val="000000" w:themeColor="text1"/>
          <w:sz w:val="24"/>
          <w:szCs w:val="24"/>
          <w:vertAlign w:val="subscript"/>
          <w:lang w:val="bs-Latn-BA"/>
        </w:rPr>
        <w:t xml:space="preserve"> th.</w:t>
      </w:r>
    </w:p>
    <w:p w:rsidR="002A1AF3" w:rsidRPr="00144185" w:rsidRDefault="002A1AF3" w:rsidP="002A1AF3">
      <w:pPr>
        <w:spacing w:after="0" w:line="240" w:lineRule="auto"/>
        <w:rPr>
          <w:rFonts w:ascii="Arial" w:hAnsi="Arial" w:cs="Arial"/>
          <w:b/>
          <w:noProof/>
          <w:color w:val="000000" w:themeColor="text1"/>
          <w:sz w:val="24"/>
          <w:szCs w:val="24"/>
          <w:lang w:val="bs-Latn-BA"/>
        </w:rPr>
      </w:pPr>
    </w:p>
    <w:p w:rsidR="002A1AF3" w:rsidRPr="00144185" w:rsidRDefault="002A1AF3" w:rsidP="002A1AF3">
      <w:pPr>
        <w:spacing w:after="0" w:line="240" w:lineRule="auto"/>
        <w:rPr>
          <w:rFonts w:ascii="Arial" w:hAnsi="Arial" w:cs="Arial"/>
          <w:b/>
          <w:noProof/>
          <w:color w:val="000000" w:themeColor="text1"/>
          <w:sz w:val="24"/>
          <w:szCs w:val="24"/>
          <w:lang w:val="bs-Latn-BA"/>
        </w:rPr>
      </w:pPr>
      <w:r w:rsidRPr="00144185">
        <w:rPr>
          <w:rFonts w:ascii="Arial" w:hAnsi="Arial" w:cs="Arial"/>
          <w:b/>
          <w:noProof/>
          <w:color w:val="000000" w:themeColor="text1"/>
          <w:sz w:val="24"/>
          <w:szCs w:val="24"/>
          <w:lang w:val="bs-Latn-BA"/>
        </w:rPr>
        <w:t xml:space="preserve">2. Proizvodnja i prerada metala </w:t>
      </w:r>
    </w:p>
    <w:p w:rsidR="002A1AF3" w:rsidRPr="00144185" w:rsidRDefault="002A1AF3" w:rsidP="002A1AF3">
      <w:p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2.1. Proizvodnja sirovog željeza ili čelika (primarno ili sekundarno topljenje), uključujući NPrekidno lijevanje, kapaciteta većeg od 2,5 do 5 tona na sat .</w:t>
      </w:r>
    </w:p>
    <w:p w:rsidR="002A1AF3" w:rsidRPr="00144185" w:rsidRDefault="002A1AF3" w:rsidP="002A1AF3">
      <w:p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 xml:space="preserve">2.2. Prerada neobojenih metala: </w:t>
      </w:r>
    </w:p>
    <w:p w:rsidR="002A1AF3" w:rsidRPr="00144185" w:rsidRDefault="002A1AF3" w:rsidP="002A1AF3">
      <w:pPr>
        <w:pStyle w:val="ListParagraph"/>
        <w:numPr>
          <w:ilvl w:val="0"/>
          <w:numId w:val="3"/>
        </w:num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 xml:space="preserve">tople valjaonice kapaciteta većeg od 20 do 30 tona sirovog čelika na sat; </w:t>
      </w:r>
    </w:p>
    <w:p w:rsidR="002A1AF3" w:rsidRPr="00144185" w:rsidRDefault="002A1AF3" w:rsidP="002A1AF3">
      <w:pPr>
        <w:pStyle w:val="ListParagraph"/>
        <w:numPr>
          <w:ilvl w:val="0"/>
          <w:numId w:val="3"/>
        </w:num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 xml:space="preserve">kovačnice s čekićima čija energija prelazi 50 kJ po čekiću, pri čemu je upotrijebljena toplotna snaga toplotnog sagorijevanja od 20 do 50 MW; </w:t>
      </w:r>
    </w:p>
    <w:p w:rsidR="002A1AF3" w:rsidRPr="00144185" w:rsidRDefault="002A1AF3" w:rsidP="002A1AF3">
      <w:p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 xml:space="preserve">2.3. Prerada obojenih metala: </w:t>
      </w:r>
    </w:p>
    <w:p w:rsidR="002A1AF3" w:rsidRPr="00144185" w:rsidRDefault="002A1AF3" w:rsidP="002A1AF3">
      <w:pPr>
        <w:pStyle w:val="ListParagraph"/>
        <w:numPr>
          <w:ilvl w:val="0"/>
          <w:numId w:val="4"/>
        </w:num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 xml:space="preserve">topljenje, uključujući i legiranje obojenih metala, uključujući revitalizirane proizvode i lijevanje u topionicama obojenih metala, kapaciteta topljenja od 4 do 6 tona na dan za olovo i kadmij ili od 20 do 30 tona na dan za sve druge metale. </w:t>
      </w:r>
    </w:p>
    <w:p w:rsidR="002A1AF3" w:rsidRPr="00144185" w:rsidRDefault="002A1AF3" w:rsidP="002A1AF3">
      <w:pPr>
        <w:spacing w:after="0" w:line="240" w:lineRule="auto"/>
        <w:jc w:val="both"/>
        <w:rPr>
          <w:rFonts w:ascii="Arial" w:hAnsi="Arial" w:cs="Arial"/>
          <w:b/>
          <w:noProof/>
          <w:color w:val="000000" w:themeColor="text1"/>
          <w:sz w:val="24"/>
          <w:szCs w:val="24"/>
          <w:lang w:val="bs-Latn-BA"/>
        </w:rPr>
      </w:pPr>
      <w:r w:rsidRPr="00144185">
        <w:rPr>
          <w:rFonts w:ascii="Arial" w:hAnsi="Arial" w:cs="Arial"/>
          <w:noProof/>
          <w:color w:val="000000" w:themeColor="text1"/>
          <w:sz w:val="24"/>
          <w:szCs w:val="24"/>
          <w:lang w:val="bs-Latn-BA"/>
        </w:rPr>
        <w:t>2.4. Površinska obrada metala ili plastičnih materijala u kojima se primjenjuje elektrolitski ili hemijski postupak, s kadama za obradu zapremine od 20 do 30 m</w:t>
      </w:r>
      <w:r w:rsidRPr="00144185">
        <w:rPr>
          <w:rFonts w:ascii="Arial" w:hAnsi="Arial" w:cs="Arial"/>
          <w:noProof/>
          <w:color w:val="000000" w:themeColor="text1"/>
          <w:sz w:val="24"/>
          <w:szCs w:val="24"/>
          <w:vertAlign w:val="superscript"/>
          <w:lang w:val="bs-Latn-BA"/>
        </w:rPr>
        <w:t>3</w:t>
      </w:r>
      <w:r w:rsidRPr="00144185">
        <w:rPr>
          <w:rFonts w:ascii="Arial" w:hAnsi="Arial" w:cs="Arial"/>
          <w:noProof/>
          <w:color w:val="000000" w:themeColor="text1"/>
          <w:sz w:val="24"/>
          <w:szCs w:val="24"/>
          <w:lang w:val="bs-Latn-BA"/>
        </w:rPr>
        <w:t xml:space="preserve">. </w:t>
      </w:r>
    </w:p>
    <w:p w:rsidR="002A1AF3" w:rsidRPr="00144185" w:rsidRDefault="002A1AF3" w:rsidP="002A1AF3">
      <w:pPr>
        <w:spacing w:after="0" w:line="240" w:lineRule="auto"/>
        <w:jc w:val="both"/>
        <w:rPr>
          <w:rFonts w:ascii="Arial" w:hAnsi="Arial" w:cs="Arial"/>
          <w:b/>
          <w:noProof/>
          <w:color w:val="000000" w:themeColor="text1"/>
          <w:sz w:val="24"/>
          <w:szCs w:val="24"/>
          <w:lang w:val="bs-Latn-BA"/>
        </w:rPr>
      </w:pPr>
    </w:p>
    <w:p w:rsidR="002A1AF3" w:rsidRPr="00144185" w:rsidRDefault="002A1AF3" w:rsidP="002A1AF3">
      <w:pPr>
        <w:spacing w:after="0" w:line="240" w:lineRule="auto"/>
        <w:jc w:val="both"/>
        <w:rPr>
          <w:rFonts w:ascii="Arial" w:hAnsi="Arial" w:cs="Arial"/>
          <w:b/>
          <w:noProof/>
          <w:color w:val="000000" w:themeColor="text1"/>
          <w:sz w:val="24"/>
          <w:szCs w:val="24"/>
          <w:lang w:val="bs-Latn-BA"/>
        </w:rPr>
      </w:pPr>
      <w:r w:rsidRPr="00144185">
        <w:rPr>
          <w:rFonts w:ascii="Arial" w:hAnsi="Arial" w:cs="Arial"/>
          <w:b/>
          <w:noProof/>
          <w:color w:val="000000" w:themeColor="text1"/>
          <w:sz w:val="24"/>
          <w:szCs w:val="24"/>
          <w:lang w:val="bs-Latn-BA"/>
        </w:rPr>
        <w:t>3. Industrija minerala</w:t>
      </w:r>
    </w:p>
    <w:p w:rsidR="002A1AF3" w:rsidRPr="00144185" w:rsidRDefault="002A1AF3" w:rsidP="002A1AF3">
      <w:p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 xml:space="preserve">3.1. Proizvodnja cementa, vapna i magnezijevog oksida: </w:t>
      </w:r>
    </w:p>
    <w:p w:rsidR="002A1AF3" w:rsidRPr="00144185" w:rsidRDefault="002A1AF3" w:rsidP="002A1AF3">
      <w:pPr>
        <w:pStyle w:val="ListParagraph"/>
        <w:numPr>
          <w:ilvl w:val="0"/>
          <w:numId w:val="5"/>
        </w:num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 xml:space="preserve">proizvodnja cementnog klinkera u rotacijskim pećima proizvodnog kapaciteta 400 do 500 tona na dan ili u drugim pećima proizvodnog kapaciteta od 40 do 50 tona na dan; </w:t>
      </w:r>
    </w:p>
    <w:p w:rsidR="002A1AF3" w:rsidRPr="00144185" w:rsidRDefault="002A1AF3" w:rsidP="002A1AF3">
      <w:pPr>
        <w:pStyle w:val="ListParagraph"/>
        <w:numPr>
          <w:ilvl w:val="0"/>
          <w:numId w:val="5"/>
        </w:num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 xml:space="preserve">proizvodnja kreča u pećima proizvodnog kapaciteta od 50 do 100 tona na dan; </w:t>
      </w:r>
    </w:p>
    <w:p w:rsidR="002A1AF3" w:rsidRPr="00144185" w:rsidRDefault="002A1AF3" w:rsidP="002A1AF3">
      <w:pPr>
        <w:pStyle w:val="ListParagraph"/>
        <w:numPr>
          <w:ilvl w:val="0"/>
          <w:numId w:val="3"/>
        </w:num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 xml:space="preserve">proizvodnja magnezijevog oksida u pećima proizvodnog kapaciteta od 50 do 80 tona na dan. </w:t>
      </w:r>
    </w:p>
    <w:p w:rsidR="002A1AF3" w:rsidRPr="00144185" w:rsidRDefault="002A1AF3" w:rsidP="002A1AF3">
      <w:p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 xml:space="preserve">3.3. Proizvodnja stakla, uključujući staklena vlakna, kapaciteta topljenja od 20 do 50 tona na dan. </w:t>
      </w:r>
    </w:p>
    <w:p w:rsidR="002A1AF3" w:rsidRPr="00144185" w:rsidRDefault="002A1AF3" w:rsidP="002A1AF3">
      <w:p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 xml:space="preserve">3.4. Topljenje mineralnih supstanci, uključujući proizvodnju mineralnih vlakana, kapaciteta topljenja od 20 do 50 tona na dan. </w:t>
      </w:r>
    </w:p>
    <w:p w:rsidR="002A1AF3" w:rsidRPr="00144185" w:rsidRDefault="002A1AF3" w:rsidP="002A1AF3">
      <w:p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3.5. Izrada keramičkih proizvoda pečenjem, posebno crjepova, opeke, vatrostalne opeke, pločica, kamenine ili porculana, proizvodnog kapaciteta od 75 do 100 tona na dan i/ili kapaciteta peći od 4 do 5 m</w:t>
      </w:r>
      <w:r w:rsidRPr="00144185">
        <w:rPr>
          <w:rFonts w:ascii="Arial" w:hAnsi="Arial" w:cs="Arial"/>
          <w:noProof/>
          <w:color w:val="000000" w:themeColor="text1"/>
          <w:sz w:val="24"/>
          <w:szCs w:val="24"/>
          <w:vertAlign w:val="superscript"/>
          <w:lang w:val="bs-Latn-BA"/>
        </w:rPr>
        <w:t>3</w:t>
      </w:r>
      <w:r w:rsidRPr="00144185">
        <w:rPr>
          <w:rFonts w:ascii="Arial" w:hAnsi="Arial" w:cs="Arial"/>
          <w:noProof/>
          <w:color w:val="000000" w:themeColor="text1"/>
          <w:sz w:val="24"/>
          <w:szCs w:val="24"/>
          <w:lang w:val="bs-Latn-BA"/>
        </w:rPr>
        <w:t xml:space="preserve"> i gustoće stvrdnjavanja veće od 300 kg/m</w:t>
      </w:r>
      <w:r w:rsidRPr="00144185">
        <w:rPr>
          <w:rFonts w:ascii="Arial" w:hAnsi="Arial" w:cs="Arial"/>
          <w:noProof/>
          <w:color w:val="000000" w:themeColor="text1"/>
          <w:sz w:val="24"/>
          <w:szCs w:val="24"/>
          <w:vertAlign w:val="superscript"/>
          <w:lang w:val="bs-Latn-BA"/>
        </w:rPr>
        <w:t>3</w:t>
      </w:r>
      <w:r w:rsidRPr="00144185">
        <w:rPr>
          <w:rFonts w:ascii="Arial" w:hAnsi="Arial" w:cs="Arial"/>
          <w:noProof/>
          <w:color w:val="000000" w:themeColor="text1"/>
          <w:sz w:val="24"/>
          <w:szCs w:val="24"/>
          <w:lang w:val="bs-Latn-BA"/>
        </w:rPr>
        <w:t xml:space="preserve"> po peći. </w:t>
      </w:r>
    </w:p>
    <w:p w:rsidR="002A1AF3" w:rsidRPr="00144185" w:rsidRDefault="002A1AF3" w:rsidP="002A1AF3">
      <w:pPr>
        <w:spacing w:after="0" w:line="240" w:lineRule="auto"/>
        <w:jc w:val="both"/>
        <w:rPr>
          <w:rFonts w:ascii="Arial" w:hAnsi="Arial" w:cs="Arial"/>
          <w:b/>
          <w:noProof/>
          <w:color w:val="000000" w:themeColor="text1"/>
          <w:sz w:val="24"/>
          <w:szCs w:val="24"/>
          <w:lang w:val="bs-Latn-BA"/>
        </w:rPr>
      </w:pPr>
    </w:p>
    <w:p w:rsidR="002A1AF3" w:rsidRPr="00144185" w:rsidRDefault="002A1AF3" w:rsidP="002A1AF3">
      <w:pPr>
        <w:spacing w:after="0" w:line="240" w:lineRule="auto"/>
        <w:jc w:val="both"/>
        <w:rPr>
          <w:rFonts w:ascii="Arial" w:hAnsi="Arial" w:cs="Arial"/>
          <w:b/>
          <w:noProof/>
          <w:color w:val="000000" w:themeColor="text1"/>
          <w:sz w:val="24"/>
          <w:szCs w:val="24"/>
          <w:lang w:val="bs-Latn-BA"/>
        </w:rPr>
      </w:pPr>
      <w:r w:rsidRPr="00144185">
        <w:rPr>
          <w:rFonts w:ascii="Arial" w:hAnsi="Arial" w:cs="Arial"/>
          <w:b/>
          <w:noProof/>
          <w:color w:val="000000" w:themeColor="text1"/>
          <w:sz w:val="24"/>
          <w:szCs w:val="24"/>
          <w:lang w:val="bs-Latn-BA"/>
        </w:rPr>
        <w:t xml:space="preserve">4. Upravljanje otpadom </w:t>
      </w:r>
    </w:p>
    <w:p w:rsidR="002A1AF3" w:rsidRPr="00144185" w:rsidRDefault="002A1AF3" w:rsidP="002A1AF3">
      <w:p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 xml:space="preserve">4.1. Zbrinjavanje ili iskorištavanje opasnog otpada kapaciteta od 10 do 20 tona na dan, uključujući jedan ili više sljedećih postupaka: </w:t>
      </w:r>
    </w:p>
    <w:p w:rsidR="002A1AF3" w:rsidRPr="00144185" w:rsidRDefault="002A1AF3" w:rsidP="002A1AF3">
      <w:pPr>
        <w:pStyle w:val="ListParagraph"/>
        <w:numPr>
          <w:ilvl w:val="0"/>
          <w:numId w:val="6"/>
        </w:num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 xml:space="preserve">biološka obrada; </w:t>
      </w:r>
    </w:p>
    <w:p w:rsidR="002A1AF3" w:rsidRPr="00144185" w:rsidRDefault="002A1AF3" w:rsidP="002A1AF3">
      <w:pPr>
        <w:pStyle w:val="ListParagraph"/>
        <w:numPr>
          <w:ilvl w:val="0"/>
          <w:numId w:val="6"/>
        </w:num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 xml:space="preserve">fizikalno-hemijska obrada; </w:t>
      </w:r>
    </w:p>
    <w:p w:rsidR="002A1AF3" w:rsidRPr="00144185" w:rsidRDefault="002A1AF3" w:rsidP="002A1AF3">
      <w:pPr>
        <w:pStyle w:val="ListParagraph"/>
        <w:numPr>
          <w:ilvl w:val="0"/>
          <w:numId w:val="6"/>
        </w:num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lastRenderedPageBreak/>
        <w:t xml:space="preserve">usitnjavanje ili miješanje prije primjene bilo kojeg drugog postupka navedenog u tačkama 4.1. i 4.2.; </w:t>
      </w:r>
    </w:p>
    <w:p w:rsidR="002A1AF3" w:rsidRPr="00144185" w:rsidRDefault="002A1AF3" w:rsidP="002A1AF3">
      <w:pPr>
        <w:pStyle w:val="ListParagraph"/>
        <w:numPr>
          <w:ilvl w:val="0"/>
          <w:numId w:val="6"/>
        </w:num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 xml:space="preserve">prepakiranje prije primjene bilo kojeg drugog postupka navedenog u tačkama 4.1. i 4.2.; </w:t>
      </w:r>
    </w:p>
    <w:p w:rsidR="002A1AF3" w:rsidRPr="00144185" w:rsidRDefault="002A1AF3" w:rsidP="002A1AF3">
      <w:pPr>
        <w:pStyle w:val="ListParagraph"/>
        <w:numPr>
          <w:ilvl w:val="0"/>
          <w:numId w:val="6"/>
        </w:num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 xml:space="preserve">obnavljanje/regeneracija otpadnih otapala (rastvarača); </w:t>
      </w:r>
    </w:p>
    <w:p w:rsidR="002A1AF3" w:rsidRPr="00144185" w:rsidRDefault="002A1AF3" w:rsidP="002A1AF3">
      <w:pPr>
        <w:pStyle w:val="ListParagraph"/>
        <w:numPr>
          <w:ilvl w:val="0"/>
          <w:numId w:val="6"/>
        </w:num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 xml:space="preserve">recikliranje/obnavljanje otpadnih anorganskih materijala osim metala i spojeva metala; </w:t>
      </w:r>
    </w:p>
    <w:p w:rsidR="002A1AF3" w:rsidRPr="00144185" w:rsidRDefault="002A1AF3" w:rsidP="002A1AF3">
      <w:pPr>
        <w:pStyle w:val="ListParagraph"/>
        <w:numPr>
          <w:ilvl w:val="0"/>
          <w:numId w:val="6"/>
        </w:num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 xml:space="preserve">regeneracija otpadnih kiselina ili lužina; </w:t>
      </w:r>
    </w:p>
    <w:p w:rsidR="002A1AF3" w:rsidRPr="00144185" w:rsidRDefault="002A1AF3" w:rsidP="002A1AF3">
      <w:pPr>
        <w:pStyle w:val="ListParagraph"/>
        <w:numPr>
          <w:ilvl w:val="0"/>
          <w:numId w:val="6"/>
        </w:num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 xml:space="preserve">revitalizacija/ponovna upotreba otpadnih sastojaka koji se koriste za smanjivanje onečišćenja; </w:t>
      </w:r>
    </w:p>
    <w:p w:rsidR="002A1AF3" w:rsidRPr="00144185" w:rsidRDefault="002A1AF3" w:rsidP="002A1AF3">
      <w:pPr>
        <w:pStyle w:val="ListParagraph"/>
        <w:numPr>
          <w:ilvl w:val="0"/>
          <w:numId w:val="6"/>
        </w:num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revitalizacija otpadnih sastojaka iz katalizatora;</w:t>
      </w:r>
    </w:p>
    <w:p w:rsidR="002A1AF3" w:rsidRPr="00144185" w:rsidRDefault="002A1AF3" w:rsidP="002A1AF3">
      <w:pPr>
        <w:pStyle w:val="ListParagraph"/>
        <w:numPr>
          <w:ilvl w:val="0"/>
          <w:numId w:val="6"/>
        </w:num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ponovna prerada otpadnih ulja ili drugi načini ponovne upotrebe otpadnih ulja;</w:t>
      </w:r>
    </w:p>
    <w:p w:rsidR="002A1AF3" w:rsidRPr="00144185" w:rsidRDefault="002A1AF3" w:rsidP="002A1AF3">
      <w:pPr>
        <w:pStyle w:val="ListParagraph"/>
        <w:numPr>
          <w:ilvl w:val="0"/>
          <w:numId w:val="6"/>
        </w:num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 xml:space="preserve">istakanje površinskih bazena. </w:t>
      </w:r>
    </w:p>
    <w:p w:rsidR="002A1AF3" w:rsidRPr="00144185" w:rsidRDefault="002A1AF3" w:rsidP="002A1AF3">
      <w:p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 xml:space="preserve">4.2. Zbrinjavanje ili iskorištavanje otpada u postrojenjima za spaljivanje otpada ili u postrojenjima za suspaljivanje otpada: </w:t>
      </w:r>
    </w:p>
    <w:p w:rsidR="002A1AF3" w:rsidRPr="00144185" w:rsidRDefault="002A1AF3" w:rsidP="002A1AF3">
      <w:pPr>
        <w:pStyle w:val="ListParagraph"/>
        <w:numPr>
          <w:ilvl w:val="0"/>
          <w:numId w:val="7"/>
        </w:num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 xml:space="preserve">za neopasni otpad, kapaciteta od 3 do 5 tone na sat; </w:t>
      </w:r>
    </w:p>
    <w:p w:rsidR="002A1AF3" w:rsidRPr="00144185" w:rsidRDefault="002A1AF3" w:rsidP="002A1AF3">
      <w:pPr>
        <w:pStyle w:val="ListParagraph"/>
        <w:numPr>
          <w:ilvl w:val="0"/>
          <w:numId w:val="7"/>
        </w:num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 xml:space="preserve">za opasni otpad, kapaciteta od 10 do 20 tona na dan. </w:t>
      </w:r>
    </w:p>
    <w:p w:rsidR="002A1AF3" w:rsidRPr="00144185" w:rsidRDefault="002A1AF3" w:rsidP="002A1AF3">
      <w:p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4.3. Zbrinjavanje neopasnog otpada</w:t>
      </w:r>
    </w:p>
    <w:p w:rsidR="002A1AF3" w:rsidRPr="00144185" w:rsidRDefault="002A1AF3" w:rsidP="002A1AF3">
      <w:pPr>
        <w:pStyle w:val="ListParagraph"/>
        <w:numPr>
          <w:ilvl w:val="0"/>
          <w:numId w:val="8"/>
        </w:num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 xml:space="preserve">Zbrinjavanje neopasnog otpada kapaciteta od 50 do 100 tona na dan uključujući jedan ili više postupaka i isključujući postupke o pročišćavanju komunalnih otpadnih voda: </w:t>
      </w:r>
    </w:p>
    <w:p w:rsidR="002A1AF3" w:rsidRPr="00144185" w:rsidRDefault="002A1AF3" w:rsidP="002A1AF3">
      <w:pPr>
        <w:pStyle w:val="ListParagraph"/>
        <w:numPr>
          <w:ilvl w:val="0"/>
          <w:numId w:val="1"/>
        </w:num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 xml:space="preserve">biološka obrada; </w:t>
      </w:r>
    </w:p>
    <w:p w:rsidR="002A1AF3" w:rsidRPr="00144185" w:rsidRDefault="002A1AF3" w:rsidP="002A1AF3">
      <w:pPr>
        <w:pStyle w:val="ListParagraph"/>
        <w:numPr>
          <w:ilvl w:val="0"/>
          <w:numId w:val="1"/>
        </w:num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 xml:space="preserve">fizikalno-hemijska obrada; </w:t>
      </w:r>
    </w:p>
    <w:p w:rsidR="002A1AF3" w:rsidRPr="00144185" w:rsidRDefault="002A1AF3" w:rsidP="002A1AF3">
      <w:pPr>
        <w:pStyle w:val="ListParagraph"/>
        <w:numPr>
          <w:ilvl w:val="0"/>
          <w:numId w:val="1"/>
        </w:num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 xml:space="preserve">prethodna obrada otpada za spaljivanje ili suspaljivanje; </w:t>
      </w:r>
    </w:p>
    <w:p w:rsidR="002A1AF3" w:rsidRPr="00144185" w:rsidRDefault="002A1AF3" w:rsidP="002A1AF3">
      <w:pPr>
        <w:pStyle w:val="ListParagraph"/>
        <w:numPr>
          <w:ilvl w:val="0"/>
          <w:numId w:val="1"/>
        </w:num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 xml:space="preserve">obrada šljake i pepela; </w:t>
      </w:r>
    </w:p>
    <w:p w:rsidR="002A1AF3" w:rsidRPr="00144185" w:rsidRDefault="002A1AF3" w:rsidP="002A1AF3">
      <w:pPr>
        <w:pStyle w:val="ListParagraph"/>
        <w:numPr>
          <w:ilvl w:val="0"/>
          <w:numId w:val="1"/>
        </w:numPr>
        <w:spacing w:after="0" w:line="240" w:lineRule="auto"/>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 xml:space="preserve">obrada u drobilicama metalnog otpada, uključujući otpadnu električnu i elektronsku opremu i otpadna vozila i njihove dijelove. </w:t>
      </w:r>
    </w:p>
    <w:p w:rsidR="002A1AF3" w:rsidRPr="00144185" w:rsidRDefault="002A1AF3" w:rsidP="002A1AF3">
      <w:pPr>
        <w:pStyle w:val="ListParagraph"/>
        <w:numPr>
          <w:ilvl w:val="0"/>
          <w:numId w:val="8"/>
        </w:num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 xml:space="preserve">Iskorištavanje ili spoj iskorištavanja i zbrinjavanja neopasnog otpada kapaciteta od 75 do 100 tona po danu uključujući jedan ili više sljedećih postupaka: </w:t>
      </w:r>
    </w:p>
    <w:p w:rsidR="002A1AF3" w:rsidRPr="00144185" w:rsidRDefault="002A1AF3" w:rsidP="002A1AF3">
      <w:pPr>
        <w:pStyle w:val="ListParagraph"/>
        <w:numPr>
          <w:ilvl w:val="0"/>
          <w:numId w:val="2"/>
        </w:num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 xml:space="preserve">biološka obrada; </w:t>
      </w:r>
    </w:p>
    <w:p w:rsidR="002A1AF3" w:rsidRPr="00144185" w:rsidRDefault="002A1AF3" w:rsidP="002A1AF3">
      <w:pPr>
        <w:pStyle w:val="ListParagraph"/>
        <w:numPr>
          <w:ilvl w:val="0"/>
          <w:numId w:val="2"/>
        </w:num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 xml:space="preserve">prethodna obrada otpada za spaljivanje ili suspaljivanje; </w:t>
      </w:r>
    </w:p>
    <w:p w:rsidR="002A1AF3" w:rsidRPr="00144185" w:rsidRDefault="002A1AF3" w:rsidP="002A1AF3">
      <w:pPr>
        <w:pStyle w:val="ListParagraph"/>
        <w:numPr>
          <w:ilvl w:val="0"/>
          <w:numId w:val="2"/>
        </w:num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 xml:space="preserve">obrada šljake i pepela; </w:t>
      </w:r>
    </w:p>
    <w:p w:rsidR="002A1AF3" w:rsidRPr="00144185" w:rsidRDefault="002A1AF3" w:rsidP="002A1AF3">
      <w:pPr>
        <w:pStyle w:val="ListParagraph"/>
        <w:numPr>
          <w:ilvl w:val="0"/>
          <w:numId w:val="2"/>
        </w:num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 xml:space="preserve">obrada u drobilicama metalnog otpada, uključujući otpadnu električnu i elektronsku opremu i otpadna vozila i njihove dijelove. </w:t>
      </w:r>
    </w:p>
    <w:p w:rsidR="002A1AF3" w:rsidRPr="00144185" w:rsidRDefault="002A1AF3" w:rsidP="002A1AF3">
      <w:p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 xml:space="preserve">Ako je jedini postupak obrade otpada anaerobna razgradnja, prag kapaciteta za ovaj postupak iznosi 100 tona na dan. </w:t>
      </w:r>
    </w:p>
    <w:p w:rsidR="00A167DC" w:rsidRDefault="002A1AF3" w:rsidP="002A1AF3">
      <w:pPr>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4.4. Odlagališta otpada na koja se odlaže od 10 do 30 tona otpada na dan ili imaju ukupni kapacitet od 25.000 do 40.000 tona, osim odlagališta inertnog otpada.</w:t>
      </w:r>
    </w:p>
    <w:p w:rsidR="00733602" w:rsidRPr="00144185" w:rsidRDefault="00733602" w:rsidP="00733602">
      <w:p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 xml:space="preserve">4.5. Privremeno skladištenje opasnog otpada koji nije obuhvaćeno tačkom 4.4. i koji čeka na neki od postupaka iz tačaka 4.1., 4.2., 4.4. i 4.6., ukupnog kapaciteta od 50 do 100 tona, osim privremenog skladištenja, koji čeka sakupljanje, na lokaciji na kojoj je otpad nastao. </w:t>
      </w:r>
    </w:p>
    <w:p w:rsidR="00733602" w:rsidRPr="00144185" w:rsidRDefault="00733602" w:rsidP="00733602">
      <w:pPr>
        <w:spacing w:after="0" w:line="240" w:lineRule="auto"/>
        <w:jc w:val="both"/>
        <w:rPr>
          <w:rFonts w:ascii="Arial" w:hAnsi="Arial" w:cs="Arial"/>
          <w:b/>
          <w:noProof/>
          <w:color w:val="000000" w:themeColor="text1"/>
          <w:sz w:val="24"/>
          <w:szCs w:val="24"/>
          <w:lang w:val="bs-Latn-BA"/>
        </w:rPr>
      </w:pPr>
      <w:r w:rsidRPr="00144185">
        <w:rPr>
          <w:rFonts w:ascii="Arial" w:hAnsi="Arial" w:cs="Arial"/>
          <w:noProof/>
          <w:color w:val="000000" w:themeColor="text1"/>
          <w:sz w:val="24"/>
          <w:szCs w:val="24"/>
          <w:lang w:val="bs-Latn-BA"/>
        </w:rPr>
        <w:t xml:space="preserve">4.6. Podzemno skladištenje opasnog otpada ukupnog kapaciteta od 50 do 100 tona. </w:t>
      </w:r>
    </w:p>
    <w:p w:rsidR="00733602" w:rsidRPr="00144185" w:rsidRDefault="00733602" w:rsidP="00733602">
      <w:pPr>
        <w:spacing w:after="0" w:line="240" w:lineRule="auto"/>
        <w:jc w:val="both"/>
        <w:rPr>
          <w:rFonts w:ascii="Arial" w:hAnsi="Arial" w:cs="Arial"/>
          <w:b/>
          <w:noProof/>
          <w:color w:val="000000" w:themeColor="text1"/>
          <w:sz w:val="24"/>
          <w:szCs w:val="24"/>
          <w:lang w:val="bs-Latn-BA"/>
        </w:rPr>
      </w:pPr>
    </w:p>
    <w:p w:rsidR="00733602" w:rsidRPr="00144185" w:rsidRDefault="00733602" w:rsidP="00733602">
      <w:pPr>
        <w:spacing w:after="0" w:line="240" w:lineRule="auto"/>
        <w:jc w:val="both"/>
        <w:rPr>
          <w:rFonts w:ascii="Arial" w:hAnsi="Arial" w:cs="Arial"/>
          <w:b/>
          <w:noProof/>
          <w:color w:val="000000" w:themeColor="text1"/>
          <w:sz w:val="24"/>
          <w:szCs w:val="24"/>
          <w:lang w:val="bs-Latn-BA"/>
        </w:rPr>
      </w:pPr>
      <w:r w:rsidRPr="00144185">
        <w:rPr>
          <w:rFonts w:ascii="Arial" w:hAnsi="Arial" w:cs="Arial"/>
          <w:b/>
          <w:noProof/>
          <w:color w:val="000000" w:themeColor="text1"/>
          <w:sz w:val="24"/>
          <w:szCs w:val="24"/>
          <w:lang w:val="bs-Latn-BA"/>
        </w:rPr>
        <w:t xml:space="preserve">5. Druge aktivnosti </w:t>
      </w:r>
    </w:p>
    <w:p w:rsidR="00733602" w:rsidRPr="00144185" w:rsidRDefault="00733602" w:rsidP="00733602">
      <w:p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lastRenderedPageBreak/>
        <w:t xml:space="preserve">5.1. Industrijska postrojenja za proizvodnju: </w:t>
      </w:r>
    </w:p>
    <w:p w:rsidR="00733602" w:rsidRPr="00144185" w:rsidRDefault="00733602" w:rsidP="00733602">
      <w:pPr>
        <w:pStyle w:val="ListParagraph"/>
        <w:numPr>
          <w:ilvl w:val="0"/>
          <w:numId w:val="11"/>
        </w:num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 xml:space="preserve">papira ili kartona, proizvodnog kapaciteta od 20 do 40 tona na dan; </w:t>
      </w:r>
    </w:p>
    <w:p w:rsidR="00733602" w:rsidRPr="00144185" w:rsidRDefault="00733602" w:rsidP="00733602">
      <w:pPr>
        <w:pStyle w:val="ListParagraph"/>
        <w:numPr>
          <w:ilvl w:val="0"/>
          <w:numId w:val="11"/>
        </w:num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jednog ili više sljedećih panela na bazi drveta: ploče od uzdužno polagane iverice (OSB ploče), ploče od iverice ili lesonit ploče proizvodnog kapaciteta od 600 do 1000 m</w:t>
      </w:r>
      <w:r w:rsidRPr="00144185">
        <w:rPr>
          <w:rFonts w:ascii="Arial" w:hAnsi="Arial" w:cs="Arial"/>
          <w:noProof/>
          <w:color w:val="000000" w:themeColor="text1"/>
          <w:sz w:val="24"/>
          <w:szCs w:val="24"/>
          <w:vertAlign w:val="superscript"/>
          <w:lang w:val="bs-Latn-BA"/>
        </w:rPr>
        <w:t>3</w:t>
      </w:r>
      <w:r w:rsidRPr="00144185">
        <w:rPr>
          <w:rFonts w:ascii="Arial" w:hAnsi="Arial" w:cs="Arial"/>
          <w:noProof/>
          <w:color w:val="000000" w:themeColor="text1"/>
          <w:sz w:val="24"/>
          <w:szCs w:val="24"/>
          <w:lang w:val="bs-Latn-BA"/>
        </w:rPr>
        <w:t xml:space="preserve"> na dan. </w:t>
      </w:r>
    </w:p>
    <w:p w:rsidR="00733602" w:rsidRPr="00144185" w:rsidRDefault="00733602" w:rsidP="00733602">
      <w:p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 xml:space="preserve">5.2. Prethodna obrada (postupci kao što su pranje, bijeljenje, merceriziranje) ili bojenje tekstilnih vlakana ili tekstila, pri čemu je kapacitet obrade od 10 do 20 tona na dan. </w:t>
      </w:r>
    </w:p>
    <w:p w:rsidR="00733602" w:rsidRPr="00144185" w:rsidRDefault="00733602" w:rsidP="00733602">
      <w:p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 xml:space="preserve">5.3. Štavljenje kože, pri čemu je kapacitet obrade od 12 do 20 tona gotovih proizvoda na dan. </w:t>
      </w:r>
    </w:p>
    <w:p w:rsidR="00733602" w:rsidRPr="00144185" w:rsidRDefault="00733602" w:rsidP="00733602">
      <w:p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 xml:space="preserve">5.4. Klaonice i proizvodnja hrane </w:t>
      </w:r>
    </w:p>
    <w:p w:rsidR="00733602" w:rsidRPr="00144185" w:rsidRDefault="00733602" w:rsidP="00733602">
      <w:pPr>
        <w:pStyle w:val="ListParagraph"/>
        <w:numPr>
          <w:ilvl w:val="0"/>
          <w:numId w:val="12"/>
        </w:num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 xml:space="preserve">Klaonice kapaciteta proizvodnje trupala od 50 do 100 tona na dan. </w:t>
      </w:r>
    </w:p>
    <w:p w:rsidR="00733602" w:rsidRPr="00144185" w:rsidRDefault="00733602" w:rsidP="00733602">
      <w:pPr>
        <w:pStyle w:val="ListParagraph"/>
        <w:numPr>
          <w:ilvl w:val="0"/>
          <w:numId w:val="12"/>
        </w:num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 xml:space="preserve">Obrada i prerada, osim isključivog pakiranja, sljedećih sirovina namijenjenih proizvodnji hrane, bez obzira na to da li su prethodno obrađene: </w:t>
      </w:r>
    </w:p>
    <w:p w:rsidR="00733602" w:rsidRPr="00144185" w:rsidRDefault="00733602" w:rsidP="00733602">
      <w:pPr>
        <w:pStyle w:val="ListParagraph"/>
        <w:numPr>
          <w:ilvl w:val="0"/>
          <w:numId w:val="9"/>
        </w:num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 xml:space="preserve">samo sirovina životinjskoga podrijetla (osim isključivo iz mlijeka), kapaciteta proizvodnje gotovih proizvoda od 75 do 100 tona na dan; </w:t>
      </w:r>
    </w:p>
    <w:p w:rsidR="00733602" w:rsidRPr="00144185" w:rsidRDefault="00733602" w:rsidP="00733602">
      <w:pPr>
        <w:pStyle w:val="ListParagraph"/>
        <w:numPr>
          <w:ilvl w:val="0"/>
          <w:numId w:val="9"/>
        </w:num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 xml:space="preserve">samo sirovina biljnog podrijetla, kapaciteta proizvodnje gotovih proizvoda od 300 do 500 tona na dan ili 600 do 1000 tona na dan ako postrojenje radi u razdoblju ne dužem od 90 uzastopnih dana u godini; </w:t>
      </w:r>
    </w:p>
    <w:p w:rsidR="00733602" w:rsidRPr="00144185" w:rsidRDefault="00733602" w:rsidP="00733602">
      <w:pPr>
        <w:pStyle w:val="ListParagraph"/>
        <w:numPr>
          <w:ilvl w:val="0"/>
          <w:numId w:val="12"/>
        </w:num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 xml:space="preserve">Obrada i prerada samog mlijeka, pri čemu je dnevni ulaz mlijeka od 200 do 300 tona po danu (prosječna godišnja vrijednost). </w:t>
      </w:r>
    </w:p>
    <w:p w:rsidR="00733602" w:rsidRPr="00144185" w:rsidRDefault="00733602" w:rsidP="00733602">
      <w:p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 xml:space="preserve">5.5. Zbrinjavanje ili recikliranje životinjskih trupala ili životinjskog otpada, kapaciteta obrade od 10 do 20 tona na dan </w:t>
      </w:r>
    </w:p>
    <w:p w:rsidR="00733602" w:rsidRPr="00144185" w:rsidRDefault="00733602" w:rsidP="00733602">
      <w:p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 xml:space="preserve">5.6. Intenzivan uzgoj: </w:t>
      </w:r>
    </w:p>
    <w:p w:rsidR="00733602" w:rsidRPr="00144185" w:rsidRDefault="00733602" w:rsidP="00733602">
      <w:pPr>
        <w:pStyle w:val="ListParagraph"/>
        <w:numPr>
          <w:ilvl w:val="0"/>
          <w:numId w:val="10"/>
        </w:num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 xml:space="preserve">od 20.000 od 60.000 mjesta za perad; </w:t>
      </w:r>
    </w:p>
    <w:p w:rsidR="00733602" w:rsidRPr="00144185" w:rsidRDefault="00733602" w:rsidP="00733602">
      <w:pPr>
        <w:pStyle w:val="ListParagraph"/>
        <w:numPr>
          <w:ilvl w:val="0"/>
          <w:numId w:val="10"/>
        </w:num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 xml:space="preserve">od 2.000 do 3.000 mjesta za proizvodnju svinja (pojedinačne težine više od 30 kg), </w:t>
      </w:r>
    </w:p>
    <w:p w:rsidR="00733602" w:rsidRPr="00144185" w:rsidRDefault="00733602" w:rsidP="00733602">
      <w:pPr>
        <w:pStyle w:val="ListParagraph"/>
        <w:numPr>
          <w:ilvl w:val="0"/>
          <w:numId w:val="10"/>
        </w:num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 xml:space="preserve">od 750 do 900 mjesta za krmače. </w:t>
      </w:r>
    </w:p>
    <w:p w:rsidR="00733602" w:rsidRPr="00144185" w:rsidRDefault="00733602" w:rsidP="00733602">
      <w:p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5.7. Površinska obrada supstanci, predmeta ili proizvoda u kojima se koriste organska otapala, posebno za apretiranje, tiskanje, premazivanje, odmašćivanje, prevlačenje vodonepropusnim slojem, obradu zatvaranja površinskih pora, bojenje, čišćenje ili impregniranje, kapaciteta potrošnje organskih otapala od 150 do 300 kg na sat ili od 200 do 400 tona godišnje.</w:t>
      </w:r>
    </w:p>
    <w:p w:rsidR="00733602" w:rsidRPr="00144185" w:rsidRDefault="00733602" w:rsidP="00733602">
      <w:pPr>
        <w:spacing w:after="0" w:line="240" w:lineRule="auto"/>
        <w:jc w:val="both"/>
        <w:rPr>
          <w:rFonts w:ascii="Arial" w:hAnsi="Arial" w:cs="Arial"/>
          <w:noProof/>
          <w:color w:val="000000" w:themeColor="text1"/>
          <w:sz w:val="24"/>
          <w:szCs w:val="24"/>
          <w:lang w:val="bs-Latn-BA"/>
        </w:rPr>
      </w:pPr>
      <w:r w:rsidRPr="00144185">
        <w:rPr>
          <w:rFonts w:ascii="Arial" w:hAnsi="Arial" w:cs="Arial"/>
          <w:noProof/>
          <w:color w:val="000000" w:themeColor="text1"/>
          <w:sz w:val="24"/>
          <w:szCs w:val="24"/>
          <w:lang w:val="bs-Latn-BA"/>
        </w:rPr>
        <w:t>5.8. Zaštita drveta i proizvoda od drveta hemikalijama, kapaciteta proizvodnje od 75 m</w:t>
      </w:r>
      <w:r w:rsidRPr="00144185">
        <w:rPr>
          <w:rFonts w:ascii="Arial" w:hAnsi="Arial" w:cs="Arial"/>
          <w:noProof/>
          <w:color w:val="000000" w:themeColor="text1"/>
          <w:sz w:val="24"/>
          <w:szCs w:val="24"/>
          <w:vertAlign w:val="superscript"/>
          <w:lang w:val="bs-Latn-BA"/>
        </w:rPr>
        <w:t>3</w:t>
      </w:r>
      <w:r w:rsidRPr="00144185">
        <w:rPr>
          <w:rFonts w:ascii="Arial" w:hAnsi="Arial" w:cs="Arial"/>
          <w:noProof/>
          <w:color w:val="000000" w:themeColor="text1"/>
          <w:sz w:val="24"/>
          <w:szCs w:val="24"/>
          <w:lang w:val="bs-Latn-BA"/>
        </w:rPr>
        <w:t xml:space="preserve"> do 150 m</w:t>
      </w:r>
      <w:r w:rsidRPr="00144185">
        <w:rPr>
          <w:rFonts w:ascii="Arial" w:hAnsi="Arial" w:cs="Arial"/>
          <w:noProof/>
          <w:color w:val="000000" w:themeColor="text1"/>
          <w:sz w:val="24"/>
          <w:szCs w:val="24"/>
          <w:vertAlign w:val="superscript"/>
          <w:lang w:val="bs-Latn-BA"/>
        </w:rPr>
        <w:t>3</w:t>
      </w:r>
      <w:r w:rsidRPr="00144185">
        <w:rPr>
          <w:rFonts w:ascii="Arial" w:hAnsi="Arial" w:cs="Arial"/>
          <w:noProof/>
          <w:color w:val="000000" w:themeColor="text1"/>
          <w:sz w:val="24"/>
          <w:szCs w:val="24"/>
          <w:lang w:val="bs-Latn-BA"/>
        </w:rPr>
        <w:t xml:space="preserve"> na dan, osim isključive zaštite od modrenja.</w:t>
      </w:r>
    </w:p>
    <w:p w:rsidR="00733602" w:rsidRPr="00144185" w:rsidRDefault="00733602" w:rsidP="00733602">
      <w:pPr>
        <w:spacing w:after="0" w:line="240" w:lineRule="auto"/>
        <w:rPr>
          <w:rFonts w:ascii="Arial" w:hAnsi="Arial" w:cs="Arial"/>
          <w:b/>
          <w:noProof/>
          <w:color w:val="000000" w:themeColor="text1"/>
          <w:sz w:val="24"/>
          <w:szCs w:val="24"/>
          <w:lang w:val="bs-Latn-BA"/>
        </w:rPr>
      </w:pPr>
    </w:p>
    <w:p w:rsidR="00733602" w:rsidRDefault="00733602" w:rsidP="002A1AF3"/>
    <w:sectPr w:rsidR="00733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E0E82"/>
    <w:multiLevelType w:val="hybridMultilevel"/>
    <w:tmpl w:val="B4F6BB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0C1199"/>
    <w:multiLevelType w:val="hybridMultilevel"/>
    <w:tmpl w:val="9D3A4150"/>
    <w:lvl w:ilvl="0" w:tplc="7972B0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F30CB9"/>
    <w:multiLevelType w:val="hybridMultilevel"/>
    <w:tmpl w:val="EFAE9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1B0567"/>
    <w:multiLevelType w:val="hybridMultilevel"/>
    <w:tmpl w:val="2500D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10542B"/>
    <w:multiLevelType w:val="hybridMultilevel"/>
    <w:tmpl w:val="843450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652BE8"/>
    <w:multiLevelType w:val="hybridMultilevel"/>
    <w:tmpl w:val="35B6D4CA"/>
    <w:lvl w:ilvl="0" w:tplc="7972B0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8C93174"/>
    <w:multiLevelType w:val="hybridMultilevel"/>
    <w:tmpl w:val="617C47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620300"/>
    <w:multiLevelType w:val="hybridMultilevel"/>
    <w:tmpl w:val="A1ACC2D6"/>
    <w:lvl w:ilvl="0" w:tplc="7972B0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CF250BD"/>
    <w:multiLevelType w:val="hybridMultilevel"/>
    <w:tmpl w:val="6CCAFC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B92724"/>
    <w:multiLevelType w:val="hybridMultilevel"/>
    <w:tmpl w:val="D7A8EA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C1537B"/>
    <w:multiLevelType w:val="hybridMultilevel"/>
    <w:tmpl w:val="1ABAC6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BD2E37"/>
    <w:multiLevelType w:val="hybridMultilevel"/>
    <w:tmpl w:val="87A41D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4"/>
  </w:num>
  <w:num w:numId="5">
    <w:abstractNumId w:val="8"/>
  </w:num>
  <w:num w:numId="6">
    <w:abstractNumId w:val="11"/>
  </w:num>
  <w:num w:numId="7">
    <w:abstractNumId w:val="2"/>
  </w:num>
  <w:num w:numId="8">
    <w:abstractNumId w:val="9"/>
  </w:num>
  <w:num w:numId="9">
    <w:abstractNumId w:val="5"/>
  </w:num>
  <w:num w:numId="10">
    <w:abstractNumId w:val="3"/>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AF3"/>
    <w:rsid w:val="00214F94"/>
    <w:rsid w:val="002A1AF3"/>
    <w:rsid w:val="005B33F9"/>
    <w:rsid w:val="00733602"/>
    <w:rsid w:val="008842F0"/>
    <w:rsid w:val="009152F5"/>
    <w:rsid w:val="00A167DC"/>
    <w:rsid w:val="00C40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1C9C1-B05B-4E98-8097-B287E397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A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AF3"/>
    <w:pPr>
      <w:ind w:left="720"/>
      <w:contextualSpacing/>
    </w:pPr>
  </w:style>
  <w:style w:type="paragraph" w:styleId="BodyText3">
    <w:name w:val="Body Text 3"/>
    <w:basedOn w:val="Normal"/>
    <w:link w:val="BodyText3Char"/>
    <w:rsid w:val="002A1AF3"/>
    <w:pPr>
      <w:spacing w:after="0" w:line="240" w:lineRule="auto"/>
      <w:jc w:val="both"/>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2A1AF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Suada</dc:creator>
  <cp:keywords/>
  <dc:description/>
  <cp:lastModifiedBy>Sabina Salihbegovic</cp:lastModifiedBy>
  <cp:revision>2</cp:revision>
  <dcterms:created xsi:type="dcterms:W3CDTF">2022-01-14T12:03:00Z</dcterms:created>
  <dcterms:modified xsi:type="dcterms:W3CDTF">2022-01-14T12:03:00Z</dcterms:modified>
</cp:coreProperties>
</file>