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1AD" w:rsidRPr="00596C22" w:rsidRDefault="00E801AD" w:rsidP="00E801AD">
      <w:pPr>
        <w:spacing w:after="0" w:line="240" w:lineRule="auto"/>
        <w:jc w:val="center"/>
        <w:rPr>
          <w:rFonts w:ascii="Arial" w:hAnsi="Arial" w:cs="Arial"/>
          <w:b/>
          <w:noProof/>
          <w:sz w:val="24"/>
          <w:szCs w:val="24"/>
          <w:lang w:val="bs-Latn-BA"/>
        </w:rPr>
      </w:pPr>
      <w:r w:rsidRPr="00596C22">
        <w:rPr>
          <w:rFonts w:ascii="Arial" w:hAnsi="Arial" w:cs="Arial"/>
          <w:b/>
          <w:noProof/>
          <w:sz w:val="24"/>
          <w:szCs w:val="24"/>
          <w:lang w:val="bs-Latn-BA"/>
        </w:rPr>
        <w:t>PRILOG I.</w:t>
      </w:r>
    </w:p>
    <w:p w:rsidR="00E801AD" w:rsidRPr="00596C22" w:rsidRDefault="00E801AD" w:rsidP="00E801AD">
      <w:pPr>
        <w:spacing w:after="0" w:line="240" w:lineRule="auto"/>
        <w:jc w:val="center"/>
        <w:rPr>
          <w:rFonts w:ascii="Arial" w:hAnsi="Arial" w:cs="Arial"/>
          <w:b/>
          <w:noProof/>
          <w:sz w:val="24"/>
          <w:szCs w:val="24"/>
          <w:lang w:val="bs-Latn-BA"/>
        </w:rPr>
      </w:pPr>
    </w:p>
    <w:p w:rsidR="00E801AD" w:rsidRPr="00596C22" w:rsidRDefault="00E801AD" w:rsidP="00E801AD">
      <w:pPr>
        <w:spacing w:after="0" w:line="240" w:lineRule="auto"/>
        <w:jc w:val="center"/>
        <w:rPr>
          <w:rFonts w:ascii="Arial" w:hAnsi="Arial" w:cs="Arial"/>
          <w:b/>
          <w:noProof/>
          <w:sz w:val="24"/>
          <w:szCs w:val="24"/>
          <w:lang w:val="bs-Latn-BA"/>
        </w:rPr>
      </w:pPr>
      <w:bookmarkStart w:id="0" w:name="_GoBack"/>
      <w:r w:rsidRPr="00596C22">
        <w:rPr>
          <w:rFonts w:ascii="Arial" w:hAnsi="Arial" w:cs="Arial"/>
          <w:b/>
          <w:noProof/>
          <w:sz w:val="24"/>
          <w:szCs w:val="24"/>
          <w:lang w:val="bs-Latn-BA"/>
        </w:rPr>
        <w:t>PROJEKTI ZA KOJE SE OBAVEZNO PROVODI PROCJENA UTICAJA NA OKOLIŠ</w:t>
      </w:r>
    </w:p>
    <w:bookmarkEnd w:id="0"/>
    <w:p w:rsidR="00E801AD" w:rsidRPr="00596C22" w:rsidRDefault="00E801AD" w:rsidP="00E801AD">
      <w:pPr>
        <w:spacing w:after="0" w:line="240" w:lineRule="auto"/>
        <w:jc w:val="both"/>
        <w:rPr>
          <w:rFonts w:ascii="Arial" w:hAnsi="Arial" w:cs="Arial"/>
          <w:b/>
          <w:noProof/>
          <w:sz w:val="24"/>
          <w:szCs w:val="24"/>
          <w:lang w:val="bs-Latn-BA"/>
        </w:rPr>
      </w:pPr>
    </w:p>
    <w:tbl>
      <w:tblPr>
        <w:tblStyle w:val="TableGrid1"/>
        <w:tblW w:w="0" w:type="auto"/>
        <w:tblLook w:val="04A0" w:firstRow="1" w:lastRow="0" w:firstColumn="1" w:lastColumn="0" w:noHBand="0" w:noVBand="1"/>
      </w:tblPr>
      <w:tblGrid>
        <w:gridCol w:w="623"/>
        <w:gridCol w:w="8619"/>
      </w:tblGrid>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1.</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Rafinerije sirove nafte (isključujući pogone koja proizvode samo maziva od  sirove nafte).</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2.</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Postrojenja za pretvaranje u plin i tekućinu 500 ili više tona uglja ili bitumenskog škriljevca na dan.</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3.</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Termoelektrane i ostala postrojenja na sagorjevanje, toplotne snage veće od 300 MW</w:t>
            </w:r>
            <w:r w:rsidRPr="00596C22">
              <w:rPr>
                <w:rFonts w:ascii="Arial" w:hAnsi="Arial" w:cs="Arial"/>
                <w:noProof/>
                <w:sz w:val="24"/>
                <w:szCs w:val="24"/>
                <w:vertAlign w:val="subscript"/>
                <w:lang w:val="bs-Latn-BA"/>
              </w:rPr>
              <w:t>th</w:t>
            </w:r>
            <w:r w:rsidRPr="00596C22">
              <w:rPr>
                <w:rFonts w:ascii="Arial" w:hAnsi="Arial" w:cs="Arial"/>
                <w:noProof/>
                <w:sz w:val="24"/>
                <w:szCs w:val="24"/>
                <w:lang w:val="bs-Latn-BA"/>
              </w:rPr>
              <w:t>.</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4.</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Nuklearne elektrane i ostali nuklearni reaktori uključujući i postupke stavljanja izvan pogona i zatvaranja takvih nuklearnih elektrana ili reaktora (s izuzetkom istraživačkih postrojenja za proizvodnju i preradu fisijskih i plodnih materijala, čija maksimalna snaga ne prelazi 1 KW kontinuiranog termičkog opterećenja). </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5.</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Postrojenja za ponovnu preradu ozračenog nuklearnog goriva.</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6.</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Postrojenja:</w:t>
            </w:r>
          </w:p>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i. za proizvodnju ili obogaćivanje nuklearnog goriva; </w:t>
            </w:r>
          </w:p>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ii. za preradu ozračenog nuklearnog goriva ili visoko radioaktivnog otpada; </w:t>
            </w:r>
          </w:p>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iii. za konačno odlaganje ozračenog nuklearnog goriva; </w:t>
            </w:r>
          </w:p>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iv. isključivo za konačno odlaganje radioaktivnog otpada; </w:t>
            </w:r>
          </w:p>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v. isključivo za skladištenje (planirano na duže od 10 godina) ozračenih nuklearnih goriva ili radioaktivnog otpada na drugoj lokaciji u odnosu na lokaciju proizvodnje. </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7.</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Integrirani radovi početnog topljenja lijevanog željeza i čelika.</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8.</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Postrojenja za proizvodnju obojenih sirovih metala iz željezne rude, koncentrata ili sekundarnih sirovina metalurškim, hemijskim ili elektrolitičkim postupcima.</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9.</w:t>
            </w:r>
          </w:p>
        </w:tc>
        <w:tc>
          <w:tcPr>
            <w:tcW w:w="8619" w:type="dxa"/>
          </w:tcPr>
          <w:p w:rsidR="00E801AD" w:rsidRPr="00596C22" w:rsidRDefault="00E801AD" w:rsidP="00D312D6">
            <w:pPr>
              <w:jc w:val="both"/>
              <w:rPr>
                <w:rFonts w:ascii="Arial" w:hAnsi="Arial" w:cs="Arial"/>
                <w:b/>
                <w:noProof/>
                <w:sz w:val="24"/>
                <w:szCs w:val="24"/>
                <w:lang w:val="bs-Latn-BA"/>
              </w:rPr>
            </w:pPr>
            <w:r w:rsidRPr="00596C22">
              <w:rPr>
                <w:rFonts w:ascii="Arial" w:hAnsi="Arial" w:cs="Arial"/>
                <w:noProof/>
                <w:sz w:val="24"/>
                <w:szCs w:val="24"/>
                <w:lang w:val="bs-Latn-BA"/>
              </w:rPr>
              <w:t>Postrojenja za vađenje azbesta i za preradu i modifikaciju azbesta i proizvoda koji sadrže azbest: za azbestno-cementne proizvode sa godišnjom proizvodnjom od preko 20.000 tona gotovih proizvoda, za frakcioni materijal sa godišnjom proizvodnjom od preko 50 tona gotovih proizvoda te za ostale upotrebe azbesta uz iskorištavanje više od 200 tona godišnje.</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10.</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Integrirana hemijska postrojenja, tj. postrojenja za industrijsku proizvodnju materija postupkom hemijske konverzije, u kojima je nekoliko jedinica funkcionalno povezanih jedna s drugom postavljeno jedna uz drugu i koje služe: </w:t>
            </w:r>
          </w:p>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(a) za proizvodnju osnovnih organskih hemikalija; </w:t>
            </w:r>
          </w:p>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(b) za proizvodnju osnovnih anorganskih hemikalija; </w:t>
            </w:r>
          </w:p>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(c) za proizvodnju gnojiva na bazi fosfora, azota i kalijuma (obična ili kombinirana gnojiva); </w:t>
            </w:r>
          </w:p>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(d) za proizvodnju osnovnih proizvoda za zaštitu zdravlja biljaka i biocida; </w:t>
            </w:r>
          </w:p>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(e) za proizvodnju osnovnih farmaceutskih proizvoda hemijskim ili biološkim postupkom; </w:t>
            </w:r>
          </w:p>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(f) za proizvodnju eksploziva. </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11.</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Izgradnja pruga za željeznički saobraćaj na duge relacije.</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12.</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Izgradnja aerodroma  s osnovnom dužinom piste od 2.100 m ili više.</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13.</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Izgradnja autoputa i brzih cesta.</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14.</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Izgradnja nove ceste s četiri ili više saobraćajnih traka, ili ponovno izravnavanje i/ili proširivanje postojeće ceste s dvije ili manje saobraćajne trake u cestu s četiri ili više saobraćajnih traka ako dužina takve nove ceste ili ponovno izravnane i/ili proširene dionice ceste u kontinuitetu iznosi 10 kilometara ili više.</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15.</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Unutrašnji plovni putevi i luke unutrašnje plovidbe kojima mogu ploviti brodovi iznad 1.350 tona.</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16.</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Trgovačke luke, pristaništa za utovar i istovar koji su povezani s kopnom i vanjskim lukama (osim trajektnih  pristaništa) i koji mogu prihvatiti  brodove iznad 1.350 tona. </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17.</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Postrojenja za zbrinjavanje opasnog otpada njegovim spaljivanje i hemijskom obradom ili trajno odlaganje na deponijama opasnog otpada.</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18.</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Postrojenja za spaljivanje, hemijsku obradu ili trajno odlaganje neopasnog otpada u količini iznad 100 tona dnevno.</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19.</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Vađenje podzemne vode ili sistem vještačkog ubrizgavanja podzemne vode s godišnjim volumenom izvađene ili ponovno napunjene podzemne vode od 10 miliona kubnih metara ili većim. </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20.</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Radovi za prebacivanje vodnih resursa iz jednog u drugi riječni sliv s ciljem da se tim prebacivanjem spriječi eventualna nestašica vode, ako količina prebačene vode iznosi više od 100 miliona kubnih metara godišnje, osim u slučaju prebacivanja pitke vode vodovodom.</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21.</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U svim drugim slučajevima, radovi za prebacivanje vodnih resursa iz jednog u drugi riječni sliv, ako višegodišnji prosječni protok sliva iz kojeg se voda vadi iznosi više od 2.000 miliona kubnih metara godišnje, a količina prebačene vode čini više od 5 % tog protoka, osim u slučaju prebacivanja pitke vode vodovodom</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22.</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Postrojenja za prečišćavanje otpadnih voda kapaciteta većeg od 50.000 ekvivalent stanovnika.</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lastRenderedPageBreak/>
              <w:t>23.</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Vađenje nafte i prirodnog plina u komercijalne svrhe, pri čemu je količina izvađene nafte veća od 500 tona dnevno, a plina iznad 500.000 kubnih metara dnevno.</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24.</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Brane i ostala postrojenja za zadržavanje ili trajno skladištenje vode, pri čemu je nova ili dodatna količina zadržane ili uskladištene vode veća od 10 miliona kubnih metara.</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25.</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Cjevovodi promjera većeg od 800 milimetara i dužine iznad 40 kilometara: </w:t>
            </w:r>
          </w:p>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(a) za prijenos plina, nafte, hemikalija; </w:t>
            </w:r>
          </w:p>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(b) za prijenos tokova ugljen dioksida (CO</w:t>
            </w:r>
            <w:r w:rsidRPr="00596C22">
              <w:rPr>
                <w:rFonts w:ascii="Arial" w:hAnsi="Arial" w:cs="Arial"/>
                <w:noProof/>
                <w:sz w:val="24"/>
                <w:szCs w:val="24"/>
                <w:vertAlign w:val="subscript"/>
                <w:lang w:val="bs-Latn-BA"/>
              </w:rPr>
              <w:t>2</w:t>
            </w:r>
            <w:r w:rsidRPr="00596C22">
              <w:rPr>
                <w:rFonts w:ascii="Arial" w:hAnsi="Arial" w:cs="Arial"/>
                <w:noProof/>
                <w:sz w:val="24"/>
                <w:szCs w:val="24"/>
                <w:lang w:val="bs-Latn-BA"/>
              </w:rPr>
              <w:t>) radi geološkog skladištenja, uključujući povezane kompresorske stanice.</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26.</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Postrojenja za intenzivni uzgoj peradi ili svinja sa više od: </w:t>
            </w:r>
          </w:p>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(a) 85.000 mjesta za piliće i 60.000 mjesta za kokoši; </w:t>
            </w:r>
          </w:p>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(b) 3.000 mjesta za svinje preko 30 kg; ili </w:t>
            </w:r>
          </w:p>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(c) 900 mjesta za krmače. </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27.</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Industrijska postrojenja za: </w:t>
            </w:r>
          </w:p>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(a) proizvodnju pulpe iz drveta ili sličnih vlaknastih materijala; </w:t>
            </w:r>
          </w:p>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 xml:space="preserve">(b) proizvodnju papira i kartona sa proizvodnim kapacitetom preko 200 tona dnevno. </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28.</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Kamenolomi i površinski kopovi na lokaciji površine iznad 25 hektara, ili vađenje treseta na lokaciji površine iznad 150 hektara.</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29.</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Izgradnja nadzemnih električnih vodova napona 220 kV ili više i dužine veće od 15 kilometara.</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30.</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Objekti za skladištenje nafte, petrohemijskih ili hemijskih proizvoda kapaciteta 200.000 tona ili više.</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31.</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Lokacije za skladištenje ugljen dioksida.</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32.</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Postrojenja za hvatanje tokova CO</w:t>
            </w:r>
            <w:r w:rsidRPr="00596C22">
              <w:rPr>
                <w:rFonts w:ascii="Arial" w:hAnsi="Arial" w:cs="Arial"/>
                <w:noProof/>
                <w:sz w:val="24"/>
                <w:szCs w:val="24"/>
                <w:vertAlign w:val="subscript"/>
                <w:lang w:val="bs-Latn-BA"/>
              </w:rPr>
              <w:t>2</w:t>
            </w:r>
            <w:r w:rsidRPr="00596C22">
              <w:rPr>
                <w:rFonts w:ascii="Arial" w:hAnsi="Arial" w:cs="Arial"/>
                <w:noProof/>
                <w:sz w:val="24"/>
                <w:szCs w:val="24"/>
                <w:lang w:val="bs-Latn-BA"/>
              </w:rPr>
              <w:t xml:space="preserve"> radi geološkog skladištenja iz postrojenja obuhvaćenih ovim Prilogom ili ako je ukupna količina uhvaćenog CO</w:t>
            </w:r>
            <w:r w:rsidRPr="00596C22">
              <w:rPr>
                <w:rFonts w:ascii="Arial" w:hAnsi="Arial" w:cs="Arial"/>
                <w:noProof/>
                <w:sz w:val="24"/>
                <w:szCs w:val="24"/>
                <w:vertAlign w:val="subscript"/>
                <w:lang w:val="bs-Latn-BA"/>
              </w:rPr>
              <w:t>2</w:t>
            </w:r>
            <w:r w:rsidRPr="00596C22">
              <w:rPr>
                <w:rFonts w:ascii="Arial" w:hAnsi="Arial" w:cs="Arial"/>
                <w:noProof/>
                <w:sz w:val="24"/>
                <w:szCs w:val="24"/>
                <w:lang w:val="bs-Latn-BA"/>
              </w:rPr>
              <w:t xml:space="preserve"> 1,5 megatona godišnje ili više.</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33.</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Hidroelektrane.</w:t>
            </w:r>
          </w:p>
        </w:tc>
      </w:tr>
      <w:tr w:rsidR="00E801AD" w:rsidRPr="00596C22" w:rsidTr="00D312D6">
        <w:tc>
          <w:tcPr>
            <w:tcW w:w="623" w:type="dxa"/>
            <w:vAlign w:val="center"/>
          </w:tcPr>
          <w:p w:rsidR="00E801AD" w:rsidRPr="00596C22" w:rsidRDefault="00E801AD" w:rsidP="00D312D6">
            <w:pPr>
              <w:jc w:val="center"/>
              <w:rPr>
                <w:rFonts w:ascii="Arial" w:hAnsi="Arial" w:cs="Arial"/>
                <w:noProof/>
                <w:sz w:val="24"/>
                <w:szCs w:val="24"/>
                <w:lang w:val="bs-Latn-BA"/>
              </w:rPr>
            </w:pPr>
            <w:r w:rsidRPr="00596C22">
              <w:rPr>
                <w:rFonts w:ascii="Arial" w:hAnsi="Arial" w:cs="Arial"/>
                <w:noProof/>
                <w:sz w:val="24"/>
                <w:szCs w:val="24"/>
                <w:lang w:val="bs-Latn-BA"/>
              </w:rPr>
              <w:t>34.</w:t>
            </w:r>
          </w:p>
        </w:tc>
        <w:tc>
          <w:tcPr>
            <w:tcW w:w="8619" w:type="dxa"/>
          </w:tcPr>
          <w:p w:rsidR="00E801AD" w:rsidRPr="00596C22" w:rsidRDefault="00E801AD" w:rsidP="00D312D6">
            <w:pPr>
              <w:jc w:val="both"/>
              <w:rPr>
                <w:rFonts w:ascii="Arial" w:hAnsi="Arial" w:cs="Arial"/>
                <w:noProof/>
                <w:sz w:val="24"/>
                <w:szCs w:val="24"/>
                <w:lang w:val="bs-Latn-BA"/>
              </w:rPr>
            </w:pPr>
            <w:r w:rsidRPr="00596C22">
              <w:rPr>
                <w:rFonts w:ascii="Arial" w:hAnsi="Arial" w:cs="Arial"/>
                <w:noProof/>
                <w:sz w:val="24"/>
                <w:szCs w:val="24"/>
                <w:lang w:val="bs-Latn-BA"/>
              </w:rPr>
              <w:t>Svaka izmjena ili proširenje projekata navedenih u ovom Prilogu ako ta izmjena ili proširenje prelazi neki od pragova navedenih u ovom Prilogu.</w:t>
            </w:r>
          </w:p>
        </w:tc>
      </w:tr>
    </w:tbl>
    <w:p w:rsidR="00E801AD" w:rsidRPr="00596C22" w:rsidRDefault="00E801AD" w:rsidP="00E801AD">
      <w:pPr>
        <w:spacing w:after="0" w:line="240" w:lineRule="auto"/>
        <w:jc w:val="both"/>
        <w:rPr>
          <w:rFonts w:ascii="Arial" w:hAnsi="Arial" w:cs="Arial"/>
          <w:sz w:val="24"/>
          <w:szCs w:val="24"/>
          <w:lang w:val="bs-Latn-BA"/>
        </w:rPr>
      </w:pPr>
    </w:p>
    <w:p w:rsidR="00A167DC" w:rsidRDefault="00A167DC" w:rsidP="00E801AD"/>
    <w:sectPr w:rsidR="00A1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AD"/>
    <w:rsid w:val="001E4069"/>
    <w:rsid w:val="00214F94"/>
    <w:rsid w:val="009152F5"/>
    <w:rsid w:val="00A167DC"/>
    <w:rsid w:val="00C408C5"/>
    <w:rsid w:val="00E80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A0B53-6448-4CB0-B803-E9C4420D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1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E801AD"/>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0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Suada</dc:creator>
  <cp:keywords/>
  <dc:description/>
  <cp:lastModifiedBy>Sabina Salihbegovic</cp:lastModifiedBy>
  <cp:revision>2</cp:revision>
  <dcterms:created xsi:type="dcterms:W3CDTF">2021-08-26T07:58:00Z</dcterms:created>
  <dcterms:modified xsi:type="dcterms:W3CDTF">2021-08-26T07:58:00Z</dcterms:modified>
</cp:coreProperties>
</file>