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D95" w:rsidRPr="005A6D21" w:rsidRDefault="00BF0D95" w:rsidP="00BF0D95">
      <w:pPr>
        <w:jc w:val="center"/>
        <w:rPr>
          <w:rFonts w:ascii="Arial" w:hAnsi="Arial" w:cs="Arial"/>
          <w:b/>
          <w:color w:val="000000" w:themeColor="text1"/>
          <w:sz w:val="22"/>
          <w:szCs w:val="22"/>
        </w:rPr>
      </w:pPr>
      <w:r w:rsidRPr="005A6D21">
        <w:rPr>
          <w:rFonts w:ascii="Arial" w:hAnsi="Arial" w:cs="Arial"/>
          <w:b/>
          <w:color w:val="000000" w:themeColor="text1"/>
          <w:sz w:val="22"/>
          <w:szCs w:val="22"/>
        </w:rPr>
        <w:t>PRILOG VI.</w:t>
      </w:r>
    </w:p>
    <w:p w:rsidR="00BF0D95" w:rsidRPr="005A6D21" w:rsidRDefault="00BF0D95" w:rsidP="00BF0D95">
      <w:pPr>
        <w:pStyle w:val="ti-grseq-1"/>
        <w:jc w:val="center"/>
        <w:rPr>
          <w:rStyle w:val="bold"/>
          <w:rFonts w:ascii="Arial" w:hAnsi="Arial" w:cs="Arial"/>
          <w:b/>
          <w:bCs/>
          <w:color w:val="000000" w:themeColor="text1"/>
          <w:sz w:val="22"/>
          <w:szCs w:val="22"/>
        </w:rPr>
      </w:pPr>
      <w:r w:rsidRPr="005A6D21">
        <w:rPr>
          <w:rStyle w:val="bold"/>
          <w:rFonts w:ascii="Arial" w:hAnsi="Arial" w:cs="Arial"/>
          <w:b/>
          <w:bCs/>
          <w:color w:val="000000" w:themeColor="text1"/>
          <w:sz w:val="22"/>
          <w:szCs w:val="22"/>
        </w:rPr>
        <w:t>POSTUPCI POVRATA OTPADA</w:t>
      </w:r>
    </w:p>
    <w:tbl>
      <w:tblPr>
        <w:tblStyle w:val="TableGrid"/>
        <w:tblW w:w="0" w:type="auto"/>
        <w:tblLook w:val="04A0" w:firstRow="1" w:lastRow="0" w:firstColumn="1" w:lastColumn="0" w:noHBand="0" w:noVBand="1"/>
      </w:tblPr>
      <w:tblGrid>
        <w:gridCol w:w="1170"/>
        <w:gridCol w:w="8180"/>
      </w:tblGrid>
      <w:tr w:rsidR="00BF0D95" w:rsidRPr="005A6D21" w:rsidTr="00990A1E">
        <w:tc>
          <w:tcPr>
            <w:tcW w:w="1271" w:type="dxa"/>
          </w:tcPr>
          <w:p w:rsidR="00BF0D95" w:rsidRPr="005A6D21" w:rsidRDefault="00BF0D95" w:rsidP="00990A1E">
            <w:pPr>
              <w:pStyle w:val="ti-grseq-1"/>
              <w:jc w:val="center"/>
              <w:rPr>
                <w:rFonts w:ascii="Arial" w:hAnsi="Arial" w:cs="Arial"/>
                <w:b/>
                <w:bCs/>
                <w:color w:val="000000" w:themeColor="text1"/>
                <w:sz w:val="22"/>
                <w:szCs w:val="22"/>
              </w:rPr>
            </w:pPr>
            <w:r w:rsidRPr="005A6D21">
              <w:rPr>
                <w:rFonts w:ascii="Arial" w:hAnsi="Arial" w:cs="Arial"/>
                <w:b/>
                <w:bCs/>
                <w:color w:val="000000" w:themeColor="text1"/>
                <w:sz w:val="22"/>
                <w:szCs w:val="22"/>
              </w:rPr>
              <w:t>R 1</w:t>
            </w:r>
          </w:p>
        </w:tc>
        <w:tc>
          <w:tcPr>
            <w:tcW w:w="9189" w:type="dxa"/>
          </w:tcPr>
          <w:p w:rsidR="00BF0D95" w:rsidRPr="005A6D21" w:rsidRDefault="00BF0D95" w:rsidP="00990A1E">
            <w:pPr>
              <w:pStyle w:val="ti-grseq-1"/>
              <w:rPr>
                <w:rFonts w:ascii="Arial" w:hAnsi="Arial" w:cs="Arial"/>
                <w:b/>
                <w:bCs/>
                <w:color w:val="000000" w:themeColor="text1"/>
                <w:sz w:val="22"/>
                <w:szCs w:val="22"/>
              </w:rPr>
            </w:pPr>
            <w:r w:rsidRPr="005A6D21">
              <w:rPr>
                <w:rFonts w:ascii="Arial" w:hAnsi="Arial" w:cs="Arial"/>
                <w:color w:val="000000" w:themeColor="text1"/>
                <w:sz w:val="22"/>
                <w:szCs w:val="22"/>
              </w:rPr>
              <w:t>Korištenje otpada uglavnom kao goriva ili drugog načina dobivanja energije</w:t>
            </w:r>
            <w:r w:rsidRPr="005A6D21">
              <w:rPr>
                <w:rStyle w:val="FootnoteReference"/>
                <w:rFonts w:ascii="Arial" w:hAnsi="Arial" w:cs="Arial"/>
                <w:color w:val="000000" w:themeColor="text1"/>
                <w:sz w:val="22"/>
                <w:szCs w:val="22"/>
              </w:rPr>
              <w:footnoteReference w:id="1"/>
            </w:r>
          </w:p>
        </w:tc>
      </w:tr>
      <w:tr w:rsidR="00BF0D95" w:rsidRPr="005A6D21" w:rsidTr="00990A1E">
        <w:tc>
          <w:tcPr>
            <w:tcW w:w="1271" w:type="dxa"/>
          </w:tcPr>
          <w:p w:rsidR="00BF0D95" w:rsidRPr="005A6D21" w:rsidRDefault="00BF0D95" w:rsidP="00990A1E">
            <w:pPr>
              <w:pStyle w:val="ti-grseq-1"/>
              <w:jc w:val="center"/>
              <w:rPr>
                <w:rFonts w:ascii="Arial" w:hAnsi="Arial" w:cs="Arial"/>
                <w:b/>
                <w:bCs/>
                <w:color w:val="000000" w:themeColor="text1"/>
                <w:sz w:val="22"/>
                <w:szCs w:val="22"/>
              </w:rPr>
            </w:pPr>
            <w:r w:rsidRPr="005A6D21">
              <w:rPr>
                <w:rFonts w:ascii="Arial" w:hAnsi="Arial" w:cs="Arial"/>
                <w:b/>
                <w:bCs/>
                <w:color w:val="000000" w:themeColor="text1"/>
                <w:sz w:val="22"/>
                <w:szCs w:val="22"/>
              </w:rPr>
              <w:t>R 2</w:t>
            </w:r>
          </w:p>
        </w:tc>
        <w:tc>
          <w:tcPr>
            <w:tcW w:w="9189" w:type="dxa"/>
          </w:tcPr>
          <w:p w:rsidR="00BF0D95" w:rsidRPr="005A6D21" w:rsidRDefault="00BF0D95" w:rsidP="00990A1E">
            <w:pPr>
              <w:pStyle w:val="ti-grseq-1"/>
              <w:rPr>
                <w:rFonts w:ascii="Arial" w:hAnsi="Arial" w:cs="Arial"/>
                <w:b/>
                <w:bCs/>
                <w:color w:val="000000" w:themeColor="text1"/>
                <w:sz w:val="22"/>
                <w:szCs w:val="22"/>
              </w:rPr>
            </w:pPr>
            <w:r w:rsidRPr="005A6D21">
              <w:rPr>
                <w:rFonts w:ascii="Arial" w:hAnsi="Arial" w:cs="Arial"/>
                <w:color w:val="000000" w:themeColor="text1"/>
                <w:sz w:val="22"/>
                <w:szCs w:val="22"/>
              </w:rPr>
              <w:t>Obnavljanje/regeneracija otpadnog otapala</w:t>
            </w:r>
          </w:p>
        </w:tc>
      </w:tr>
      <w:tr w:rsidR="00BF0D95" w:rsidRPr="005A6D21" w:rsidTr="00990A1E">
        <w:tc>
          <w:tcPr>
            <w:tcW w:w="1271" w:type="dxa"/>
          </w:tcPr>
          <w:p w:rsidR="00BF0D95" w:rsidRPr="005A6D21" w:rsidRDefault="00BF0D95" w:rsidP="00990A1E">
            <w:pPr>
              <w:pStyle w:val="ti-grseq-1"/>
              <w:jc w:val="center"/>
              <w:rPr>
                <w:rFonts w:ascii="Arial" w:hAnsi="Arial" w:cs="Arial"/>
                <w:b/>
                <w:bCs/>
                <w:color w:val="000000" w:themeColor="text1"/>
                <w:sz w:val="22"/>
                <w:szCs w:val="22"/>
              </w:rPr>
            </w:pPr>
            <w:r w:rsidRPr="005A6D21">
              <w:rPr>
                <w:rFonts w:ascii="Arial" w:hAnsi="Arial" w:cs="Arial"/>
                <w:b/>
                <w:bCs/>
                <w:color w:val="000000" w:themeColor="text1"/>
                <w:sz w:val="22"/>
                <w:szCs w:val="22"/>
              </w:rPr>
              <w:t>R 3</w:t>
            </w:r>
          </w:p>
        </w:tc>
        <w:tc>
          <w:tcPr>
            <w:tcW w:w="9189" w:type="dxa"/>
          </w:tcPr>
          <w:p w:rsidR="00BF0D95" w:rsidRPr="005A6D21" w:rsidRDefault="00BF0D95" w:rsidP="00990A1E">
            <w:pPr>
              <w:pStyle w:val="ti-grseq-1"/>
              <w:rPr>
                <w:rFonts w:ascii="Arial" w:hAnsi="Arial" w:cs="Arial"/>
                <w:b/>
                <w:bCs/>
                <w:color w:val="000000" w:themeColor="text1"/>
                <w:sz w:val="22"/>
                <w:szCs w:val="22"/>
              </w:rPr>
            </w:pPr>
            <w:r w:rsidRPr="005A6D21">
              <w:rPr>
                <w:rFonts w:ascii="Arial" w:hAnsi="Arial" w:cs="Arial"/>
                <w:color w:val="000000" w:themeColor="text1"/>
                <w:sz w:val="22"/>
                <w:szCs w:val="22"/>
              </w:rPr>
              <w:t>Recikliranje/obnavljanje otpadnih organskih supstanci koje se ne koriste kao otapala (uključujući kompostiranje i druge procese biološke pretvorbe)</w:t>
            </w:r>
            <w:hyperlink r:id="rId6" w:anchor="ntr2-L_2008312HR.01002401-E0002" w:history="1">
              <w:r w:rsidRPr="005A6D21">
                <w:rPr>
                  <w:rStyle w:val="FootnoteReference"/>
                  <w:rFonts w:ascii="Arial" w:hAnsi="Arial" w:cs="Arial"/>
                  <w:color w:val="000000" w:themeColor="text1"/>
                  <w:sz w:val="22"/>
                  <w:szCs w:val="22"/>
                </w:rPr>
                <w:footnoteReference w:id="2"/>
              </w:r>
            </w:hyperlink>
          </w:p>
        </w:tc>
      </w:tr>
      <w:tr w:rsidR="00BF0D95" w:rsidRPr="005A6D21" w:rsidTr="00990A1E">
        <w:tc>
          <w:tcPr>
            <w:tcW w:w="1271" w:type="dxa"/>
          </w:tcPr>
          <w:p w:rsidR="00BF0D95" w:rsidRPr="005A6D21" w:rsidRDefault="00BF0D95" w:rsidP="00990A1E">
            <w:pPr>
              <w:pStyle w:val="ti-grseq-1"/>
              <w:jc w:val="center"/>
              <w:rPr>
                <w:rFonts w:ascii="Arial" w:hAnsi="Arial" w:cs="Arial"/>
                <w:b/>
                <w:bCs/>
                <w:color w:val="000000" w:themeColor="text1"/>
                <w:sz w:val="22"/>
                <w:szCs w:val="22"/>
              </w:rPr>
            </w:pPr>
            <w:r w:rsidRPr="005A6D21">
              <w:rPr>
                <w:rFonts w:ascii="Arial" w:hAnsi="Arial" w:cs="Arial"/>
                <w:b/>
                <w:bCs/>
                <w:color w:val="000000" w:themeColor="text1"/>
                <w:sz w:val="22"/>
                <w:szCs w:val="22"/>
              </w:rPr>
              <w:t>R 4</w:t>
            </w:r>
          </w:p>
        </w:tc>
        <w:tc>
          <w:tcPr>
            <w:tcW w:w="9189" w:type="dxa"/>
          </w:tcPr>
          <w:p w:rsidR="00BF0D95" w:rsidRPr="005A6D21" w:rsidRDefault="00BF0D95" w:rsidP="00990A1E">
            <w:pPr>
              <w:pStyle w:val="ti-grseq-1"/>
              <w:rPr>
                <w:rFonts w:ascii="Arial" w:hAnsi="Arial" w:cs="Arial"/>
                <w:b/>
                <w:bCs/>
                <w:color w:val="000000" w:themeColor="text1"/>
                <w:sz w:val="22"/>
                <w:szCs w:val="22"/>
              </w:rPr>
            </w:pPr>
            <w:r w:rsidRPr="005A6D21">
              <w:rPr>
                <w:rFonts w:ascii="Arial" w:hAnsi="Arial" w:cs="Arial"/>
                <w:color w:val="000000" w:themeColor="text1"/>
                <w:sz w:val="22"/>
                <w:szCs w:val="22"/>
              </w:rPr>
              <w:t>Recikliranje/obnavljanje otpadnih metala i spojeva metala</w:t>
            </w:r>
          </w:p>
        </w:tc>
      </w:tr>
      <w:tr w:rsidR="00BF0D95" w:rsidRPr="005A6D21" w:rsidTr="00990A1E">
        <w:tc>
          <w:tcPr>
            <w:tcW w:w="1271" w:type="dxa"/>
          </w:tcPr>
          <w:p w:rsidR="00BF0D95" w:rsidRPr="005A6D21" w:rsidRDefault="00BF0D95" w:rsidP="00990A1E">
            <w:pPr>
              <w:pStyle w:val="ti-grseq-1"/>
              <w:jc w:val="center"/>
              <w:rPr>
                <w:rFonts w:ascii="Arial" w:hAnsi="Arial" w:cs="Arial"/>
                <w:b/>
                <w:bCs/>
                <w:color w:val="000000" w:themeColor="text1"/>
                <w:sz w:val="22"/>
                <w:szCs w:val="22"/>
              </w:rPr>
            </w:pPr>
            <w:r w:rsidRPr="005A6D21">
              <w:rPr>
                <w:rFonts w:ascii="Arial" w:hAnsi="Arial" w:cs="Arial"/>
                <w:b/>
                <w:bCs/>
                <w:color w:val="000000" w:themeColor="text1"/>
                <w:sz w:val="22"/>
                <w:szCs w:val="22"/>
              </w:rPr>
              <w:t>R 5</w:t>
            </w:r>
          </w:p>
        </w:tc>
        <w:tc>
          <w:tcPr>
            <w:tcW w:w="9189" w:type="dxa"/>
          </w:tcPr>
          <w:p w:rsidR="00BF0D95" w:rsidRPr="005A6D21" w:rsidRDefault="00BF0D95" w:rsidP="00990A1E">
            <w:pPr>
              <w:pStyle w:val="ti-grseq-1"/>
              <w:rPr>
                <w:rFonts w:ascii="Arial" w:hAnsi="Arial" w:cs="Arial"/>
                <w:b/>
                <w:bCs/>
                <w:color w:val="000000" w:themeColor="text1"/>
                <w:sz w:val="22"/>
                <w:szCs w:val="22"/>
              </w:rPr>
            </w:pPr>
            <w:r w:rsidRPr="005A6D21">
              <w:rPr>
                <w:rFonts w:ascii="Arial" w:hAnsi="Arial" w:cs="Arial"/>
                <w:color w:val="000000" w:themeColor="text1"/>
                <w:sz w:val="22"/>
                <w:szCs w:val="22"/>
              </w:rPr>
              <w:t>Recikliranje/obnavljanje drugih otpadnih neorganskih materijala</w:t>
            </w:r>
            <w:r w:rsidRPr="005A6D21">
              <w:rPr>
                <w:rStyle w:val="FootnoteReference"/>
                <w:rFonts w:ascii="Arial" w:hAnsi="Arial" w:cs="Arial"/>
                <w:color w:val="000000" w:themeColor="text1"/>
                <w:sz w:val="22"/>
                <w:szCs w:val="22"/>
              </w:rPr>
              <w:footnoteReference w:id="3"/>
            </w:r>
          </w:p>
        </w:tc>
      </w:tr>
      <w:tr w:rsidR="00BF0D95" w:rsidRPr="005A6D21" w:rsidTr="00990A1E">
        <w:tc>
          <w:tcPr>
            <w:tcW w:w="1271" w:type="dxa"/>
          </w:tcPr>
          <w:p w:rsidR="00BF0D95" w:rsidRPr="005A6D21" w:rsidRDefault="00BF0D95" w:rsidP="00990A1E">
            <w:pPr>
              <w:pStyle w:val="ti-grseq-1"/>
              <w:jc w:val="center"/>
              <w:rPr>
                <w:rFonts w:ascii="Arial" w:hAnsi="Arial" w:cs="Arial"/>
                <w:b/>
                <w:bCs/>
                <w:color w:val="000000" w:themeColor="text1"/>
                <w:sz w:val="22"/>
                <w:szCs w:val="22"/>
              </w:rPr>
            </w:pPr>
            <w:r w:rsidRPr="005A6D21">
              <w:rPr>
                <w:rFonts w:ascii="Arial" w:hAnsi="Arial" w:cs="Arial"/>
                <w:b/>
                <w:bCs/>
                <w:color w:val="000000" w:themeColor="text1"/>
                <w:sz w:val="22"/>
                <w:szCs w:val="22"/>
              </w:rPr>
              <w:t>R 6</w:t>
            </w:r>
          </w:p>
        </w:tc>
        <w:tc>
          <w:tcPr>
            <w:tcW w:w="9189" w:type="dxa"/>
          </w:tcPr>
          <w:p w:rsidR="00BF0D95" w:rsidRPr="005A6D21" w:rsidRDefault="00BF0D95" w:rsidP="00990A1E">
            <w:pPr>
              <w:pStyle w:val="ti-grseq-1"/>
              <w:rPr>
                <w:rFonts w:ascii="Arial" w:hAnsi="Arial" w:cs="Arial"/>
                <w:b/>
                <w:bCs/>
                <w:color w:val="000000" w:themeColor="text1"/>
                <w:sz w:val="22"/>
                <w:szCs w:val="22"/>
              </w:rPr>
            </w:pPr>
            <w:r w:rsidRPr="005A6D21">
              <w:rPr>
                <w:rFonts w:ascii="Arial" w:hAnsi="Arial" w:cs="Arial"/>
                <w:color w:val="000000" w:themeColor="text1"/>
                <w:sz w:val="22"/>
                <w:szCs w:val="22"/>
              </w:rPr>
              <w:t>Regeneracija otpadnih kiselina ili lužina</w:t>
            </w:r>
          </w:p>
        </w:tc>
      </w:tr>
      <w:tr w:rsidR="00BF0D95" w:rsidRPr="005A6D21" w:rsidTr="00990A1E">
        <w:tc>
          <w:tcPr>
            <w:tcW w:w="1271" w:type="dxa"/>
          </w:tcPr>
          <w:p w:rsidR="00BF0D95" w:rsidRPr="005A6D21" w:rsidRDefault="00BF0D95" w:rsidP="00990A1E">
            <w:pPr>
              <w:pStyle w:val="ti-grseq-1"/>
              <w:jc w:val="center"/>
              <w:rPr>
                <w:rFonts w:ascii="Arial" w:hAnsi="Arial" w:cs="Arial"/>
                <w:b/>
                <w:bCs/>
                <w:color w:val="000000" w:themeColor="text1"/>
                <w:sz w:val="22"/>
                <w:szCs w:val="22"/>
              </w:rPr>
            </w:pPr>
            <w:r w:rsidRPr="005A6D21">
              <w:rPr>
                <w:rFonts w:ascii="Arial" w:hAnsi="Arial" w:cs="Arial"/>
                <w:b/>
                <w:bCs/>
                <w:color w:val="000000" w:themeColor="text1"/>
                <w:sz w:val="22"/>
                <w:szCs w:val="22"/>
              </w:rPr>
              <w:t>R 7</w:t>
            </w:r>
          </w:p>
        </w:tc>
        <w:tc>
          <w:tcPr>
            <w:tcW w:w="9189" w:type="dxa"/>
          </w:tcPr>
          <w:p w:rsidR="00BF0D95" w:rsidRPr="005A6D21" w:rsidRDefault="00BF0D95" w:rsidP="00990A1E">
            <w:pPr>
              <w:pStyle w:val="ti-grseq-1"/>
              <w:rPr>
                <w:rFonts w:ascii="Arial" w:hAnsi="Arial" w:cs="Arial"/>
                <w:b/>
                <w:bCs/>
                <w:color w:val="000000" w:themeColor="text1"/>
                <w:sz w:val="22"/>
                <w:szCs w:val="22"/>
              </w:rPr>
            </w:pPr>
            <w:r w:rsidRPr="005A6D21">
              <w:rPr>
                <w:rFonts w:ascii="Arial" w:hAnsi="Arial" w:cs="Arial"/>
                <w:color w:val="000000" w:themeColor="text1"/>
                <w:sz w:val="22"/>
                <w:szCs w:val="22"/>
              </w:rPr>
              <w:t>Povrat otpadnih sastojaka koji se koriste za smanjivanje zagađenja</w:t>
            </w:r>
          </w:p>
        </w:tc>
      </w:tr>
      <w:tr w:rsidR="00BF0D95" w:rsidRPr="005A6D21" w:rsidTr="00990A1E">
        <w:tc>
          <w:tcPr>
            <w:tcW w:w="1271" w:type="dxa"/>
          </w:tcPr>
          <w:p w:rsidR="00BF0D95" w:rsidRPr="005A6D21" w:rsidRDefault="00BF0D95" w:rsidP="00990A1E">
            <w:pPr>
              <w:pStyle w:val="ti-grseq-1"/>
              <w:jc w:val="center"/>
              <w:rPr>
                <w:rFonts w:ascii="Arial" w:hAnsi="Arial" w:cs="Arial"/>
                <w:b/>
                <w:bCs/>
                <w:color w:val="000000" w:themeColor="text1"/>
                <w:sz w:val="22"/>
                <w:szCs w:val="22"/>
              </w:rPr>
            </w:pPr>
            <w:r w:rsidRPr="005A6D21">
              <w:rPr>
                <w:rFonts w:ascii="Arial" w:hAnsi="Arial" w:cs="Arial"/>
                <w:b/>
                <w:bCs/>
                <w:color w:val="000000" w:themeColor="text1"/>
                <w:sz w:val="22"/>
                <w:szCs w:val="22"/>
              </w:rPr>
              <w:t>R 8</w:t>
            </w:r>
          </w:p>
        </w:tc>
        <w:tc>
          <w:tcPr>
            <w:tcW w:w="9189" w:type="dxa"/>
          </w:tcPr>
          <w:p w:rsidR="00BF0D95" w:rsidRPr="005A6D21" w:rsidRDefault="00BF0D95" w:rsidP="00990A1E">
            <w:pPr>
              <w:pStyle w:val="ti-grseq-1"/>
              <w:rPr>
                <w:rFonts w:ascii="Arial" w:hAnsi="Arial" w:cs="Arial"/>
                <w:b/>
                <w:bCs/>
                <w:color w:val="000000" w:themeColor="text1"/>
                <w:sz w:val="22"/>
                <w:szCs w:val="22"/>
              </w:rPr>
            </w:pPr>
            <w:r w:rsidRPr="005A6D21">
              <w:rPr>
                <w:rFonts w:ascii="Arial" w:hAnsi="Arial" w:cs="Arial"/>
                <w:color w:val="000000" w:themeColor="text1"/>
                <w:sz w:val="22"/>
                <w:szCs w:val="22"/>
              </w:rPr>
              <w:t>Povrat otpadnih sastojaka iz katalizatora</w:t>
            </w:r>
          </w:p>
        </w:tc>
      </w:tr>
      <w:tr w:rsidR="00BF0D95" w:rsidRPr="005A6D21" w:rsidTr="00990A1E">
        <w:tc>
          <w:tcPr>
            <w:tcW w:w="1271" w:type="dxa"/>
          </w:tcPr>
          <w:p w:rsidR="00BF0D95" w:rsidRPr="005A6D21" w:rsidRDefault="00BF0D95" w:rsidP="00990A1E">
            <w:pPr>
              <w:pStyle w:val="ti-grseq-1"/>
              <w:jc w:val="center"/>
              <w:rPr>
                <w:rFonts w:ascii="Arial" w:hAnsi="Arial" w:cs="Arial"/>
                <w:b/>
                <w:bCs/>
                <w:color w:val="000000" w:themeColor="text1"/>
                <w:sz w:val="22"/>
                <w:szCs w:val="22"/>
              </w:rPr>
            </w:pPr>
            <w:r w:rsidRPr="005A6D21">
              <w:rPr>
                <w:rFonts w:ascii="Arial" w:hAnsi="Arial" w:cs="Arial"/>
                <w:b/>
                <w:bCs/>
                <w:color w:val="000000" w:themeColor="text1"/>
                <w:sz w:val="22"/>
                <w:szCs w:val="22"/>
              </w:rPr>
              <w:t>R 9</w:t>
            </w:r>
          </w:p>
        </w:tc>
        <w:tc>
          <w:tcPr>
            <w:tcW w:w="9189" w:type="dxa"/>
          </w:tcPr>
          <w:p w:rsidR="00BF0D95" w:rsidRPr="005A6D21" w:rsidRDefault="00BF0D95" w:rsidP="00990A1E">
            <w:pPr>
              <w:pStyle w:val="ti-grseq-1"/>
              <w:rPr>
                <w:rFonts w:ascii="Arial" w:hAnsi="Arial" w:cs="Arial"/>
                <w:b/>
                <w:bCs/>
                <w:color w:val="000000" w:themeColor="text1"/>
                <w:sz w:val="22"/>
                <w:szCs w:val="22"/>
              </w:rPr>
            </w:pPr>
            <w:r w:rsidRPr="005A6D21">
              <w:rPr>
                <w:rFonts w:ascii="Arial" w:hAnsi="Arial" w:cs="Arial"/>
                <w:color w:val="000000" w:themeColor="text1"/>
                <w:sz w:val="22"/>
                <w:szCs w:val="22"/>
              </w:rPr>
              <w:t>Ponovna prerada otpadnih ulja ili drugi načini ponovne upotrebe otpadnih ulja</w:t>
            </w:r>
          </w:p>
        </w:tc>
      </w:tr>
      <w:tr w:rsidR="00BF0D95" w:rsidRPr="005A6D21" w:rsidTr="00990A1E">
        <w:tc>
          <w:tcPr>
            <w:tcW w:w="1271" w:type="dxa"/>
          </w:tcPr>
          <w:p w:rsidR="00BF0D95" w:rsidRPr="005A6D21" w:rsidRDefault="00BF0D95" w:rsidP="00990A1E">
            <w:pPr>
              <w:pStyle w:val="ti-grseq-1"/>
              <w:jc w:val="center"/>
              <w:rPr>
                <w:rFonts w:ascii="Arial" w:hAnsi="Arial" w:cs="Arial"/>
                <w:b/>
                <w:bCs/>
                <w:color w:val="000000" w:themeColor="text1"/>
                <w:sz w:val="22"/>
                <w:szCs w:val="22"/>
              </w:rPr>
            </w:pPr>
            <w:r w:rsidRPr="005A6D21">
              <w:rPr>
                <w:rFonts w:ascii="Arial" w:hAnsi="Arial" w:cs="Arial"/>
                <w:b/>
                <w:bCs/>
                <w:color w:val="000000" w:themeColor="text1"/>
                <w:sz w:val="22"/>
                <w:szCs w:val="22"/>
              </w:rPr>
              <w:t>R10</w:t>
            </w:r>
          </w:p>
        </w:tc>
        <w:tc>
          <w:tcPr>
            <w:tcW w:w="9189" w:type="dxa"/>
          </w:tcPr>
          <w:p w:rsidR="00BF0D95" w:rsidRPr="005A6D21" w:rsidRDefault="00BF0D95" w:rsidP="00990A1E">
            <w:pPr>
              <w:pStyle w:val="ti-grseq-1"/>
              <w:rPr>
                <w:rFonts w:ascii="Arial" w:hAnsi="Arial" w:cs="Arial"/>
                <w:b/>
                <w:bCs/>
                <w:color w:val="000000" w:themeColor="text1"/>
                <w:sz w:val="22"/>
                <w:szCs w:val="22"/>
              </w:rPr>
            </w:pPr>
            <w:r w:rsidRPr="005A6D21">
              <w:rPr>
                <w:rFonts w:ascii="Arial" w:hAnsi="Arial" w:cs="Arial"/>
                <w:color w:val="000000" w:themeColor="text1"/>
                <w:sz w:val="22"/>
                <w:szCs w:val="22"/>
              </w:rPr>
              <w:t>Tretiranje tla otpadom u svrhu poljoprivrednog ili ekološkog poboljšanja</w:t>
            </w:r>
          </w:p>
        </w:tc>
      </w:tr>
      <w:tr w:rsidR="00BF0D95" w:rsidRPr="005A6D21" w:rsidTr="00990A1E">
        <w:tc>
          <w:tcPr>
            <w:tcW w:w="1271" w:type="dxa"/>
          </w:tcPr>
          <w:p w:rsidR="00BF0D95" w:rsidRPr="005A6D21" w:rsidRDefault="00BF0D95" w:rsidP="00990A1E">
            <w:pPr>
              <w:pStyle w:val="ti-grseq-1"/>
              <w:jc w:val="center"/>
              <w:rPr>
                <w:rFonts w:ascii="Arial" w:hAnsi="Arial" w:cs="Arial"/>
                <w:b/>
                <w:bCs/>
                <w:color w:val="000000" w:themeColor="text1"/>
                <w:sz w:val="22"/>
                <w:szCs w:val="22"/>
              </w:rPr>
            </w:pPr>
            <w:r w:rsidRPr="005A6D21">
              <w:rPr>
                <w:rFonts w:ascii="Arial" w:hAnsi="Arial" w:cs="Arial"/>
                <w:b/>
                <w:bCs/>
                <w:color w:val="000000" w:themeColor="text1"/>
                <w:sz w:val="22"/>
                <w:szCs w:val="22"/>
              </w:rPr>
              <w:t>R 11</w:t>
            </w:r>
          </w:p>
        </w:tc>
        <w:tc>
          <w:tcPr>
            <w:tcW w:w="9189" w:type="dxa"/>
          </w:tcPr>
          <w:p w:rsidR="00BF0D95" w:rsidRPr="005A6D21" w:rsidRDefault="00BF0D95" w:rsidP="00990A1E">
            <w:pPr>
              <w:pStyle w:val="ti-grseq-1"/>
              <w:rPr>
                <w:rFonts w:ascii="Arial" w:hAnsi="Arial" w:cs="Arial"/>
                <w:b/>
                <w:bCs/>
                <w:color w:val="000000" w:themeColor="text1"/>
                <w:sz w:val="22"/>
                <w:szCs w:val="22"/>
              </w:rPr>
            </w:pPr>
            <w:r w:rsidRPr="005A6D21">
              <w:rPr>
                <w:rFonts w:ascii="Arial" w:hAnsi="Arial" w:cs="Arial"/>
                <w:color w:val="000000" w:themeColor="text1"/>
                <w:sz w:val="22"/>
                <w:szCs w:val="22"/>
              </w:rPr>
              <w:t>Povrat otpada nastalog bilo kojim postupkom R 1 do R 10</w:t>
            </w:r>
          </w:p>
        </w:tc>
      </w:tr>
      <w:tr w:rsidR="00BF0D95" w:rsidRPr="005A6D21" w:rsidTr="00990A1E">
        <w:tc>
          <w:tcPr>
            <w:tcW w:w="1271" w:type="dxa"/>
          </w:tcPr>
          <w:p w:rsidR="00BF0D95" w:rsidRPr="005A6D21" w:rsidRDefault="00BF0D95" w:rsidP="00990A1E">
            <w:pPr>
              <w:pStyle w:val="ti-grseq-1"/>
              <w:jc w:val="center"/>
              <w:rPr>
                <w:rFonts w:ascii="Arial" w:hAnsi="Arial" w:cs="Arial"/>
                <w:b/>
                <w:bCs/>
                <w:color w:val="000000" w:themeColor="text1"/>
                <w:sz w:val="22"/>
                <w:szCs w:val="22"/>
              </w:rPr>
            </w:pPr>
            <w:r w:rsidRPr="005A6D21">
              <w:rPr>
                <w:rFonts w:ascii="Arial" w:hAnsi="Arial" w:cs="Arial"/>
                <w:b/>
                <w:bCs/>
                <w:color w:val="000000" w:themeColor="text1"/>
                <w:sz w:val="22"/>
                <w:szCs w:val="22"/>
              </w:rPr>
              <w:t xml:space="preserve">R 12 </w:t>
            </w:r>
          </w:p>
        </w:tc>
        <w:tc>
          <w:tcPr>
            <w:tcW w:w="9189" w:type="dxa"/>
          </w:tcPr>
          <w:p w:rsidR="00BF0D95" w:rsidRPr="005A6D21" w:rsidRDefault="00BF0D95" w:rsidP="00990A1E">
            <w:pPr>
              <w:pStyle w:val="ti-grseq-1"/>
              <w:rPr>
                <w:rFonts w:ascii="Arial" w:hAnsi="Arial" w:cs="Arial"/>
                <w:b/>
                <w:bCs/>
                <w:color w:val="000000" w:themeColor="text1"/>
                <w:sz w:val="22"/>
                <w:szCs w:val="22"/>
              </w:rPr>
            </w:pPr>
            <w:r w:rsidRPr="005A6D21">
              <w:rPr>
                <w:rFonts w:ascii="Arial" w:hAnsi="Arial" w:cs="Arial"/>
                <w:color w:val="000000" w:themeColor="text1"/>
                <w:sz w:val="22"/>
                <w:szCs w:val="22"/>
              </w:rPr>
              <w:t>Razmjena otpada radi primjene bilo kojeg od postupaka povrata R 1 do R 11</w:t>
            </w:r>
            <w:r w:rsidRPr="005A6D21">
              <w:rPr>
                <w:rStyle w:val="FootnoteReference"/>
                <w:rFonts w:ascii="Arial" w:hAnsi="Arial" w:cs="Arial"/>
                <w:color w:val="000000" w:themeColor="text1"/>
                <w:sz w:val="22"/>
                <w:szCs w:val="22"/>
              </w:rPr>
              <w:footnoteReference w:id="4"/>
            </w:r>
          </w:p>
        </w:tc>
      </w:tr>
      <w:tr w:rsidR="00BF0D95" w:rsidRPr="005A6D21" w:rsidTr="00990A1E">
        <w:tc>
          <w:tcPr>
            <w:tcW w:w="1271" w:type="dxa"/>
          </w:tcPr>
          <w:p w:rsidR="00BF0D95" w:rsidRPr="005A6D21" w:rsidRDefault="00BF0D95" w:rsidP="00990A1E">
            <w:pPr>
              <w:pStyle w:val="ti-grseq-1"/>
              <w:jc w:val="center"/>
              <w:rPr>
                <w:rFonts w:ascii="Arial" w:hAnsi="Arial" w:cs="Arial"/>
                <w:b/>
                <w:bCs/>
                <w:color w:val="000000" w:themeColor="text1"/>
                <w:sz w:val="22"/>
                <w:szCs w:val="22"/>
              </w:rPr>
            </w:pPr>
            <w:r w:rsidRPr="005A6D21">
              <w:rPr>
                <w:rFonts w:ascii="Arial" w:hAnsi="Arial" w:cs="Arial"/>
                <w:b/>
                <w:bCs/>
                <w:color w:val="000000" w:themeColor="text1"/>
                <w:sz w:val="22"/>
                <w:szCs w:val="22"/>
              </w:rPr>
              <w:t>R 13</w:t>
            </w:r>
          </w:p>
        </w:tc>
        <w:tc>
          <w:tcPr>
            <w:tcW w:w="9189" w:type="dxa"/>
          </w:tcPr>
          <w:p w:rsidR="00BF0D95" w:rsidRPr="005A6D21" w:rsidRDefault="00BF0D95" w:rsidP="00990A1E">
            <w:pPr>
              <w:pStyle w:val="ti-grseq-1"/>
              <w:rPr>
                <w:rFonts w:ascii="Arial" w:hAnsi="Arial" w:cs="Arial"/>
                <w:b/>
                <w:bCs/>
                <w:color w:val="000000" w:themeColor="text1"/>
                <w:sz w:val="22"/>
                <w:szCs w:val="22"/>
              </w:rPr>
            </w:pPr>
            <w:r w:rsidRPr="005A6D21">
              <w:rPr>
                <w:rFonts w:ascii="Arial" w:hAnsi="Arial" w:cs="Arial"/>
                <w:color w:val="000000" w:themeColor="text1"/>
                <w:sz w:val="22"/>
                <w:szCs w:val="22"/>
              </w:rPr>
              <w:t>Skladištenje otpada prije bilo kojeg od postupaka povrata/oporabe R 1 do R 12 (osim privremenog skladištenja otpada na lokaciji na kojoj je nastao, prije skupljanja).</w:t>
            </w:r>
          </w:p>
        </w:tc>
      </w:tr>
    </w:tbl>
    <w:p w:rsidR="000C1DBC" w:rsidRDefault="000C1DBC">
      <w:bookmarkStart w:id="0" w:name="_GoBack"/>
      <w:bookmarkEnd w:id="0"/>
    </w:p>
    <w:sectPr w:rsidR="000C1D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430" w:rsidRDefault="00187430" w:rsidP="00BF0D95">
      <w:r>
        <w:separator/>
      </w:r>
    </w:p>
  </w:endnote>
  <w:endnote w:type="continuationSeparator" w:id="0">
    <w:p w:rsidR="00187430" w:rsidRDefault="00187430" w:rsidP="00BF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430" w:rsidRDefault="00187430" w:rsidP="00BF0D95">
      <w:r>
        <w:separator/>
      </w:r>
    </w:p>
  </w:footnote>
  <w:footnote w:type="continuationSeparator" w:id="0">
    <w:p w:rsidR="00187430" w:rsidRDefault="00187430" w:rsidP="00BF0D95">
      <w:r>
        <w:continuationSeparator/>
      </w:r>
    </w:p>
  </w:footnote>
  <w:footnote w:id="1">
    <w:p w:rsidR="00BF0D95" w:rsidRPr="005A55F6" w:rsidRDefault="00BF0D95" w:rsidP="00BF0D95">
      <w:pPr>
        <w:pStyle w:val="FootnoteText"/>
        <w:rPr>
          <w:rFonts w:ascii="Arial" w:eastAsia="Times New Roman" w:hAnsi="Arial" w:cs="Arial"/>
          <w:i/>
          <w:iCs/>
        </w:rPr>
      </w:pPr>
      <w:r w:rsidRPr="005A55F6">
        <w:rPr>
          <w:rFonts w:ascii="Arial" w:eastAsia="Times New Roman" w:hAnsi="Arial" w:cs="Arial"/>
          <w:i/>
          <w:iCs/>
          <w:vertAlign w:val="superscript"/>
        </w:rPr>
        <w:footnoteRef/>
      </w:r>
      <w:r w:rsidRPr="005A55F6">
        <w:rPr>
          <w:rFonts w:ascii="Arial" w:eastAsia="Times New Roman" w:hAnsi="Arial" w:cs="Arial"/>
          <w:i/>
          <w:iCs/>
        </w:rPr>
        <w:t xml:space="preserve"> Obuhvata postrojenja za spaljivanje namijenjena obradi krutog komunalnog otpada samo kad je njihova energetska efikasnost jednaka ili veća od:</w:t>
      </w:r>
    </w:p>
    <w:tbl>
      <w:tblPr>
        <w:tblW w:w="5000" w:type="pct"/>
        <w:tblCellSpacing w:w="0" w:type="dxa"/>
        <w:tblCellMar>
          <w:left w:w="0" w:type="dxa"/>
          <w:right w:w="0" w:type="dxa"/>
        </w:tblCellMar>
        <w:tblLook w:val="04A0" w:firstRow="1" w:lastRow="0" w:firstColumn="1" w:lastColumn="0" w:noHBand="0" w:noVBand="1"/>
      </w:tblPr>
      <w:tblGrid>
        <w:gridCol w:w="380"/>
        <w:gridCol w:w="8980"/>
      </w:tblGrid>
      <w:tr w:rsidR="00BF0D95" w:rsidRPr="005A55F6" w:rsidTr="00D51015">
        <w:trPr>
          <w:tblCellSpacing w:w="0" w:type="dxa"/>
        </w:trPr>
        <w:tc>
          <w:tcPr>
            <w:tcW w:w="203" w:type="pct"/>
            <w:hideMark/>
          </w:tcPr>
          <w:p w:rsidR="00BF0D95" w:rsidRPr="005A55F6" w:rsidRDefault="00BF0D95" w:rsidP="004154F4">
            <w:pPr>
              <w:pStyle w:val="FootnoteText"/>
              <w:rPr>
                <w:rFonts w:ascii="Arial" w:eastAsia="Times New Roman" w:hAnsi="Arial" w:cs="Arial"/>
                <w:i/>
                <w:iCs/>
              </w:rPr>
            </w:pPr>
            <w:r w:rsidRPr="005A55F6">
              <w:rPr>
                <w:rFonts w:ascii="Arial" w:eastAsia="Times New Roman" w:hAnsi="Arial" w:cs="Arial"/>
                <w:i/>
                <w:iCs/>
              </w:rPr>
              <w:t>—</w:t>
            </w:r>
          </w:p>
        </w:tc>
        <w:tc>
          <w:tcPr>
            <w:tcW w:w="4797" w:type="pct"/>
            <w:hideMark/>
          </w:tcPr>
          <w:p w:rsidR="00BF0D95" w:rsidRPr="005A55F6" w:rsidRDefault="00BF0D95" w:rsidP="004154F4">
            <w:pPr>
              <w:pStyle w:val="FootnoteText"/>
              <w:rPr>
                <w:rFonts w:ascii="Arial" w:eastAsia="Times New Roman" w:hAnsi="Arial" w:cs="Arial"/>
                <w:i/>
                <w:iCs/>
              </w:rPr>
            </w:pPr>
            <w:r w:rsidRPr="005A55F6">
              <w:rPr>
                <w:rFonts w:ascii="Arial" w:eastAsia="Times New Roman" w:hAnsi="Arial" w:cs="Arial"/>
                <w:i/>
                <w:iCs/>
              </w:rPr>
              <w:t xml:space="preserve">0,60 za postrojenja u radu </w:t>
            </w:r>
          </w:p>
        </w:tc>
      </w:tr>
    </w:tbl>
    <w:p w:rsidR="00BF0D95" w:rsidRPr="005A55F6" w:rsidRDefault="00BF0D95" w:rsidP="00BF0D95">
      <w:pPr>
        <w:pStyle w:val="FootnoteText"/>
        <w:rPr>
          <w:rFonts w:ascii="Arial" w:eastAsia="Times New Roman" w:hAnsi="Arial" w:cs="Arial"/>
          <w:i/>
          <w:iCs/>
        </w:rPr>
      </w:pPr>
      <w:r w:rsidRPr="005A55F6">
        <w:rPr>
          <w:rFonts w:ascii="Arial" w:eastAsia="Times New Roman" w:hAnsi="Arial" w:cs="Arial"/>
          <w:i/>
          <w:iCs/>
        </w:rPr>
        <w:t>—0,65 za postrojenja koja su odobrena nakon 31. prosinca 2008.,</w:t>
      </w:r>
    </w:p>
    <w:p w:rsidR="00BF0D95" w:rsidRPr="005A55F6" w:rsidRDefault="00BF0D95" w:rsidP="00BF0D95">
      <w:pPr>
        <w:pStyle w:val="FootnoteText"/>
        <w:rPr>
          <w:rFonts w:ascii="Arial" w:eastAsia="Times New Roman" w:hAnsi="Arial" w:cs="Arial"/>
          <w:i/>
          <w:iCs/>
        </w:rPr>
      </w:pPr>
      <w:r w:rsidRPr="005A55F6">
        <w:rPr>
          <w:rFonts w:ascii="Arial" w:eastAsia="Times New Roman" w:hAnsi="Arial" w:cs="Arial"/>
          <w:i/>
          <w:iCs/>
        </w:rPr>
        <w:t>primjenom sljedeće formule:</w:t>
      </w:r>
    </w:p>
    <w:p w:rsidR="00BF0D95" w:rsidRPr="005A55F6" w:rsidRDefault="00BF0D95" w:rsidP="00BF0D95">
      <w:pPr>
        <w:pStyle w:val="FootnoteText"/>
        <w:rPr>
          <w:rFonts w:ascii="Arial" w:eastAsia="Times New Roman" w:hAnsi="Arial" w:cs="Arial"/>
          <w:b/>
          <w:bCs/>
          <w:i/>
          <w:iCs/>
        </w:rPr>
      </w:pPr>
      <w:r w:rsidRPr="005A55F6">
        <w:rPr>
          <w:rFonts w:ascii="Arial" w:eastAsia="Times New Roman" w:hAnsi="Arial" w:cs="Arial"/>
          <w:b/>
          <w:bCs/>
          <w:i/>
          <w:iCs/>
        </w:rPr>
        <w:t>Energetska efikasnost = (Ep - (Ef + Ei))/(0,97 × (Ew + Ef))</w:t>
      </w:r>
    </w:p>
    <w:p w:rsidR="00BF0D95" w:rsidRPr="005A55F6" w:rsidRDefault="00BF0D95" w:rsidP="00BF0D95">
      <w:pPr>
        <w:pStyle w:val="FootnoteText"/>
        <w:rPr>
          <w:rFonts w:ascii="Arial" w:eastAsia="Times New Roman" w:hAnsi="Arial" w:cs="Arial"/>
          <w:i/>
          <w:iCs/>
        </w:rPr>
      </w:pPr>
    </w:p>
    <w:p w:rsidR="00BF0D95" w:rsidRPr="005A55F6" w:rsidRDefault="00BF0D95" w:rsidP="00BF0D95">
      <w:pPr>
        <w:pStyle w:val="FootnoteText"/>
        <w:rPr>
          <w:rFonts w:ascii="Arial" w:eastAsia="Times New Roman" w:hAnsi="Arial" w:cs="Arial"/>
          <w:i/>
          <w:iCs/>
        </w:rPr>
      </w:pPr>
      <w:r w:rsidRPr="005A55F6">
        <w:rPr>
          <w:rFonts w:ascii="Arial" w:eastAsia="Times New Roman" w:hAnsi="Arial" w:cs="Arial"/>
          <w:i/>
          <w:iCs/>
        </w:rPr>
        <w:t>Gdje je:</w:t>
      </w:r>
    </w:p>
    <w:p w:rsidR="00BF0D95" w:rsidRPr="005A55F6" w:rsidRDefault="00BF0D95" w:rsidP="00BF0D95">
      <w:pPr>
        <w:pStyle w:val="FootnoteText"/>
        <w:tabs>
          <w:tab w:val="left" w:pos="60"/>
        </w:tabs>
        <w:rPr>
          <w:rFonts w:ascii="Arial" w:eastAsia="Times New Roman" w:hAnsi="Arial" w:cs="Arial"/>
          <w:i/>
          <w:iCs/>
        </w:rPr>
      </w:pPr>
      <w:r w:rsidRPr="005A55F6">
        <w:rPr>
          <w:rFonts w:ascii="Arial" w:eastAsia="Times New Roman" w:hAnsi="Arial" w:cs="Arial"/>
          <w:b/>
          <w:bCs/>
          <w:i/>
          <w:iCs/>
        </w:rPr>
        <w:t> Ep</w:t>
      </w:r>
      <w:r w:rsidRPr="005A55F6">
        <w:rPr>
          <w:rFonts w:ascii="Arial" w:eastAsia="Times New Roman" w:hAnsi="Arial" w:cs="Arial"/>
          <w:i/>
          <w:iCs/>
        </w:rPr>
        <w:t xml:space="preserve"> označava godišnju proizvodnju energije kao toplotne energije ili električne energije. Izračunava se tako da se energija u obliku električne energije pomnoži s 2,6, a toplotna energija proizvedena u komercijalne svrhe množi se s 1,1 (GJ/godina)</w:t>
      </w:r>
    </w:p>
    <w:p w:rsidR="00BF0D95" w:rsidRPr="005A55F6" w:rsidRDefault="00BF0D95" w:rsidP="00BF0D95">
      <w:pPr>
        <w:pStyle w:val="FootnoteText"/>
        <w:rPr>
          <w:rFonts w:ascii="Arial" w:eastAsia="Times New Roman" w:hAnsi="Arial" w:cs="Arial"/>
          <w:i/>
          <w:iCs/>
        </w:rPr>
      </w:pPr>
    </w:p>
    <w:tbl>
      <w:tblPr>
        <w:tblW w:w="5000" w:type="pct"/>
        <w:tblCellSpacing w:w="0" w:type="dxa"/>
        <w:tblCellMar>
          <w:left w:w="0" w:type="dxa"/>
          <w:right w:w="0" w:type="dxa"/>
        </w:tblCellMar>
        <w:tblLook w:val="04A0" w:firstRow="1" w:lastRow="0" w:firstColumn="1" w:lastColumn="0" w:noHBand="0" w:noVBand="1"/>
      </w:tblPr>
      <w:tblGrid>
        <w:gridCol w:w="56"/>
        <w:gridCol w:w="9304"/>
      </w:tblGrid>
      <w:tr w:rsidR="00BF0D95" w:rsidRPr="005A55F6" w:rsidTr="00D51015">
        <w:trPr>
          <w:tblCellSpacing w:w="0" w:type="dxa"/>
        </w:trPr>
        <w:tc>
          <w:tcPr>
            <w:tcW w:w="0" w:type="auto"/>
            <w:hideMark/>
          </w:tcPr>
          <w:p w:rsidR="00BF0D95" w:rsidRPr="005A55F6" w:rsidRDefault="00BF0D95" w:rsidP="004154F4">
            <w:pPr>
              <w:pStyle w:val="FootnoteText"/>
              <w:rPr>
                <w:rFonts w:ascii="Arial" w:eastAsia="Times New Roman" w:hAnsi="Arial" w:cs="Arial"/>
                <w:i/>
                <w:iCs/>
              </w:rPr>
            </w:pPr>
            <w:r w:rsidRPr="005A55F6">
              <w:rPr>
                <w:rFonts w:ascii="Arial" w:eastAsia="Times New Roman" w:hAnsi="Arial" w:cs="Arial"/>
                <w:i/>
                <w:iCs/>
              </w:rPr>
              <w:t> </w:t>
            </w:r>
          </w:p>
        </w:tc>
        <w:tc>
          <w:tcPr>
            <w:tcW w:w="0" w:type="auto"/>
            <w:hideMark/>
          </w:tcPr>
          <w:p w:rsidR="00BF0D95" w:rsidRPr="005A55F6" w:rsidRDefault="00BF0D95" w:rsidP="004154F4">
            <w:pPr>
              <w:pStyle w:val="FootnoteText"/>
              <w:rPr>
                <w:rFonts w:ascii="Arial" w:eastAsia="Times New Roman" w:hAnsi="Arial" w:cs="Arial"/>
                <w:i/>
                <w:iCs/>
              </w:rPr>
            </w:pPr>
            <w:r w:rsidRPr="005A55F6">
              <w:rPr>
                <w:rFonts w:ascii="Arial" w:eastAsia="Times New Roman" w:hAnsi="Arial" w:cs="Arial"/>
                <w:b/>
                <w:bCs/>
                <w:i/>
                <w:iCs/>
              </w:rPr>
              <w:t xml:space="preserve">Ef </w:t>
            </w:r>
            <w:r w:rsidRPr="005A55F6">
              <w:rPr>
                <w:rFonts w:ascii="Arial" w:eastAsia="Times New Roman" w:hAnsi="Arial" w:cs="Arial"/>
                <w:i/>
                <w:iCs/>
              </w:rPr>
              <w:t>označava količinu energije koja godišnje ulazi u sistem, a dobivena je iz goriva i služi proizvodnji pare (GJ/godina)</w:t>
            </w:r>
          </w:p>
        </w:tc>
      </w:tr>
    </w:tbl>
    <w:p w:rsidR="00BF0D95" w:rsidRPr="005A55F6" w:rsidRDefault="00BF0D95" w:rsidP="00BF0D95">
      <w:pPr>
        <w:pStyle w:val="FootnoteText"/>
        <w:rPr>
          <w:rFonts w:ascii="Arial" w:eastAsia="Times New Roman" w:hAnsi="Arial" w:cs="Arial"/>
          <w:i/>
          <w:iCs/>
        </w:rPr>
      </w:pPr>
    </w:p>
    <w:tbl>
      <w:tblPr>
        <w:tblW w:w="5000" w:type="pct"/>
        <w:tblCellSpacing w:w="0" w:type="dxa"/>
        <w:tblCellMar>
          <w:left w:w="0" w:type="dxa"/>
          <w:right w:w="0" w:type="dxa"/>
        </w:tblCellMar>
        <w:tblLook w:val="04A0" w:firstRow="1" w:lastRow="0" w:firstColumn="1" w:lastColumn="0" w:noHBand="0" w:noVBand="1"/>
      </w:tblPr>
      <w:tblGrid>
        <w:gridCol w:w="56"/>
        <w:gridCol w:w="9304"/>
      </w:tblGrid>
      <w:tr w:rsidR="00BF0D95" w:rsidRPr="005A55F6" w:rsidTr="00D51015">
        <w:trPr>
          <w:tblCellSpacing w:w="0" w:type="dxa"/>
        </w:trPr>
        <w:tc>
          <w:tcPr>
            <w:tcW w:w="0" w:type="auto"/>
            <w:hideMark/>
          </w:tcPr>
          <w:p w:rsidR="00BF0D95" w:rsidRPr="005A55F6" w:rsidRDefault="00BF0D95" w:rsidP="004154F4">
            <w:pPr>
              <w:pStyle w:val="FootnoteText"/>
              <w:rPr>
                <w:rFonts w:ascii="Arial" w:eastAsia="Times New Roman" w:hAnsi="Arial" w:cs="Arial"/>
                <w:i/>
                <w:iCs/>
              </w:rPr>
            </w:pPr>
            <w:r w:rsidRPr="005A55F6">
              <w:rPr>
                <w:rFonts w:ascii="Arial" w:eastAsia="Times New Roman" w:hAnsi="Arial" w:cs="Arial"/>
                <w:i/>
                <w:iCs/>
              </w:rPr>
              <w:t> </w:t>
            </w:r>
          </w:p>
        </w:tc>
        <w:tc>
          <w:tcPr>
            <w:tcW w:w="0" w:type="auto"/>
            <w:hideMark/>
          </w:tcPr>
          <w:p w:rsidR="00BF0D95" w:rsidRPr="005A55F6" w:rsidRDefault="00BF0D95" w:rsidP="004154F4">
            <w:pPr>
              <w:pStyle w:val="FootnoteText"/>
              <w:rPr>
                <w:rFonts w:ascii="Arial" w:eastAsia="Times New Roman" w:hAnsi="Arial" w:cs="Arial"/>
                <w:i/>
                <w:iCs/>
              </w:rPr>
            </w:pPr>
            <w:r w:rsidRPr="005A55F6">
              <w:rPr>
                <w:rFonts w:ascii="Arial" w:eastAsia="Times New Roman" w:hAnsi="Arial" w:cs="Arial"/>
                <w:b/>
                <w:bCs/>
                <w:i/>
                <w:iCs/>
              </w:rPr>
              <w:t>Ew</w:t>
            </w:r>
            <w:r w:rsidRPr="005A55F6">
              <w:rPr>
                <w:rFonts w:ascii="Arial" w:eastAsia="Times New Roman" w:hAnsi="Arial" w:cs="Arial"/>
                <w:i/>
                <w:iCs/>
              </w:rPr>
              <w:t xml:space="preserve"> označava godišnju količinu energije sadržane u obrađenom otpadu izračunatu primjenom neto kalorične vrijednosti otpada (GJ/godina)</w:t>
            </w:r>
          </w:p>
        </w:tc>
      </w:tr>
    </w:tbl>
    <w:p w:rsidR="00BF0D95" w:rsidRPr="005A55F6" w:rsidRDefault="00BF0D95" w:rsidP="00BF0D95">
      <w:pPr>
        <w:pStyle w:val="FootnoteText"/>
        <w:rPr>
          <w:rFonts w:ascii="Arial" w:eastAsia="Times New Roman" w:hAnsi="Arial" w:cs="Arial"/>
          <w:i/>
          <w:iCs/>
        </w:rPr>
      </w:pPr>
    </w:p>
    <w:tbl>
      <w:tblPr>
        <w:tblW w:w="5000" w:type="pct"/>
        <w:tblCellSpacing w:w="0" w:type="dxa"/>
        <w:tblCellMar>
          <w:left w:w="0" w:type="dxa"/>
          <w:right w:w="0" w:type="dxa"/>
        </w:tblCellMar>
        <w:tblLook w:val="04A0" w:firstRow="1" w:lastRow="0" w:firstColumn="1" w:lastColumn="0" w:noHBand="0" w:noVBand="1"/>
      </w:tblPr>
      <w:tblGrid>
        <w:gridCol w:w="82"/>
        <w:gridCol w:w="9278"/>
      </w:tblGrid>
      <w:tr w:rsidR="00BF0D95" w:rsidRPr="005A55F6" w:rsidTr="00D51015">
        <w:trPr>
          <w:tblCellSpacing w:w="0" w:type="dxa"/>
        </w:trPr>
        <w:tc>
          <w:tcPr>
            <w:tcW w:w="0" w:type="auto"/>
            <w:hideMark/>
          </w:tcPr>
          <w:p w:rsidR="00BF0D95" w:rsidRPr="005A55F6" w:rsidRDefault="00BF0D95" w:rsidP="004154F4">
            <w:pPr>
              <w:pStyle w:val="FootnoteText"/>
              <w:rPr>
                <w:rFonts w:ascii="Arial" w:eastAsia="Times New Roman" w:hAnsi="Arial" w:cs="Arial"/>
                <w:i/>
                <w:iCs/>
              </w:rPr>
            </w:pPr>
            <w:r w:rsidRPr="005A55F6">
              <w:rPr>
                <w:rFonts w:ascii="Arial" w:eastAsia="Times New Roman" w:hAnsi="Arial" w:cs="Arial"/>
                <w:i/>
                <w:iCs/>
              </w:rPr>
              <w:t> </w:t>
            </w:r>
          </w:p>
        </w:tc>
        <w:tc>
          <w:tcPr>
            <w:tcW w:w="0" w:type="auto"/>
            <w:hideMark/>
          </w:tcPr>
          <w:p w:rsidR="00BF0D95" w:rsidRPr="005A55F6" w:rsidRDefault="00BF0D95" w:rsidP="004154F4">
            <w:pPr>
              <w:pStyle w:val="FootnoteText"/>
              <w:rPr>
                <w:rFonts w:ascii="Arial" w:eastAsia="Times New Roman" w:hAnsi="Arial" w:cs="Arial"/>
                <w:i/>
                <w:iCs/>
              </w:rPr>
            </w:pPr>
            <w:r w:rsidRPr="005A55F6">
              <w:rPr>
                <w:rFonts w:ascii="Arial" w:eastAsia="Times New Roman" w:hAnsi="Arial" w:cs="Arial"/>
                <w:b/>
                <w:bCs/>
                <w:i/>
                <w:iCs/>
              </w:rPr>
              <w:t>Ei</w:t>
            </w:r>
            <w:r w:rsidRPr="005A55F6">
              <w:rPr>
                <w:rFonts w:ascii="Arial" w:eastAsia="Times New Roman" w:hAnsi="Arial" w:cs="Arial"/>
                <w:i/>
                <w:iCs/>
              </w:rPr>
              <w:t xml:space="preserve"> označava godišnju uvezenu količinu energije bez Ew i Ef (GJ/godina)</w:t>
            </w:r>
          </w:p>
        </w:tc>
      </w:tr>
    </w:tbl>
    <w:p w:rsidR="00BF0D95" w:rsidRPr="005A55F6" w:rsidRDefault="00BF0D95" w:rsidP="00BF0D95">
      <w:pPr>
        <w:pStyle w:val="FootnoteText"/>
        <w:rPr>
          <w:rFonts w:ascii="Arial" w:eastAsia="Times New Roman" w:hAnsi="Arial" w:cs="Arial"/>
          <w:i/>
          <w:iCs/>
        </w:rPr>
      </w:pPr>
    </w:p>
    <w:p w:rsidR="00BF0D95" w:rsidRPr="005A55F6" w:rsidRDefault="00BF0D95" w:rsidP="00BF0D95">
      <w:pPr>
        <w:pStyle w:val="FootnoteText"/>
        <w:tabs>
          <w:tab w:val="left" w:pos="82"/>
        </w:tabs>
        <w:rPr>
          <w:rFonts w:ascii="Arial" w:eastAsia="Times New Roman" w:hAnsi="Arial" w:cs="Arial"/>
          <w:i/>
          <w:iCs/>
        </w:rPr>
      </w:pPr>
      <w:r w:rsidRPr="005A55F6">
        <w:rPr>
          <w:rFonts w:ascii="Arial" w:eastAsia="Times New Roman" w:hAnsi="Arial" w:cs="Arial"/>
          <w:i/>
          <w:iCs/>
        </w:rPr>
        <w:t> </w:t>
      </w:r>
      <w:r w:rsidRPr="005A55F6">
        <w:rPr>
          <w:rFonts w:ascii="Arial" w:eastAsia="Times New Roman" w:hAnsi="Arial" w:cs="Arial"/>
          <w:i/>
          <w:iCs/>
        </w:rPr>
        <w:tab/>
      </w:r>
      <w:r w:rsidRPr="005A55F6">
        <w:rPr>
          <w:rFonts w:ascii="Arial" w:eastAsia="Times New Roman" w:hAnsi="Arial" w:cs="Arial"/>
          <w:b/>
          <w:bCs/>
          <w:i/>
          <w:iCs/>
        </w:rPr>
        <w:t>0,97</w:t>
      </w:r>
      <w:r w:rsidRPr="005A55F6">
        <w:rPr>
          <w:rFonts w:ascii="Arial" w:eastAsia="Times New Roman" w:hAnsi="Arial" w:cs="Arial"/>
          <w:i/>
          <w:iCs/>
        </w:rPr>
        <w:t xml:space="preserve"> je faktor obračuna gubitaka energije zbog pepela na dnu peći i isijavanja.</w:t>
      </w:r>
    </w:p>
    <w:p w:rsidR="00BF0D95" w:rsidRPr="005A55F6" w:rsidRDefault="00BF0D95" w:rsidP="00BF0D95">
      <w:pPr>
        <w:pStyle w:val="FootnoteText"/>
        <w:rPr>
          <w:rFonts w:ascii="Arial" w:eastAsia="Times New Roman" w:hAnsi="Arial" w:cs="Arial"/>
          <w:i/>
          <w:iCs/>
        </w:rPr>
      </w:pPr>
    </w:p>
    <w:p w:rsidR="00BF0D95" w:rsidRPr="005A55F6" w:rsidRDefault="00BF0D95" w:rsidP="00BF0D95">
      <w:pPr>
        <w:pStyle w:val="FootnoteText"/>
        <w:rPr>
          <w:rFonts w:ascii="Arial" w:eastAsia="Times New Roman" w:hAnsi="Arial" w:cs="Arial"/>
          <w:i/>
          <w:iCs/>
        </w:rPr>
      </w:pPr>
      <w:r w:rsidRPr="005A55F6">
        <w:rPr>
          <w:rFonts w:ascii="Arial" w:eastAsia="Times New Roman" w:hAnsi="Arial" w:cs="Arial"/>
          <w:i/>
          <w:iCs/>
        </w:rPr>
        <w:t>Ova se formula primjenjuje u skladu s referentnim dokumentom o najboljim dostupnim tehnikama (BAT) za spaljivanje otpada.</w:t>
      </w:r>
    </w:p>
  </w:footnote>
  <w:footnote w:id="2">
    <w:p w:rsidR="00BF0D95" w:rsidRPr="005A55F6" w:rsidRDefault="00BF0D95" w:rsidP="00BF0D95">
      <w:pPr>
        <w:pStyle w:val="FootnoteText"/>
        <w:rPr>
          <w:rFonts w:ascii="Arial" w:eastAsia="Times New Roman" w:hAnsi="Arial" w:cs="Arial"/>
          <w:i/>
          <w:iCs/>
        </w:rPr>
      </w:pPr>
      <w:r w:rsidRPr="005A55F6">
        <w:rPr>
          <w:rFonts w:ascii="Arial" w:eastAsia="Times New Roman" w:hAnsi="Arial" w:cs="Arial"/>
          <w:i/>
          <w:iCs/>
          <w:vertAlign w:val="superscript"/>
        </w:rPr>
        <w:footnoteRef/>
      </w:r>
      <w:r w:rsidRPr="005A55F6">
        <w:rPr>
          <w:rFonts w:ascii="Arial" w:eastAsia="Times New Roman" w:hAnsi="Arial" w:cs="Arial"/>
          <w:i/>
          <w:iCs/>
        </w:rPr>
        <w:t xml:space="preserve"> </w:t>
      </w:r>
      <w:r w:rsidRPr="005A55F6">
        <w:rPr>
          <w:rFonts w:ascii="Arial" w:eastAsia="Times New Roman" w:hAnsi="Arial" w:cs="Arial"/>
          <w:i/>
          <w:iCs/>
        </w:rPr>
        <w:t xml:space="preserve">Obuhvata </w:t>
      </w:r>
      <w:r>
        <w:rPr>
          <w:rFonts w:ascii="Arial" w:eastAsia="Times New Roman" w:hAnsi="Arial" w:cs="Arial"/>
          <w:i/>
          <w:iCs/>
        </w:rPr>
        <w:t>gasi</w:t>
      </w:r>
      <w:r w:rsidRPr="005A55F6">
        <w:rPr>
          <w:rFonts w:ascii="Arial" w:eastAsia="Times New Roman" w:hAnsi="Arial" w:cs="Arial"/>
          <w:i/>
          <w:iCs/>
        </w:rPr>
        <w:t>fikaciju i pirolizu u kojima se sastojci upotrebljavaju kao hemikalije.</w:t>
      </w:r>
    </w:p>
  </w:footnote>
  <w:footnote w:id="3">
    <w:p w:rsidR="00BF0D95" w:rsidRPr="00EB099F" w:rsidRDefault="00BF0D95" w:rsidP="00BF0D95">
      <w:pPr>
        <w:pStyle w:val="FootnoteText"/>
        <w:rPr>
          <w:rFonts w:ascii="Arial" w:eastAsia="Times New Roman" w:hAnsi="Arial" w:cs="Arial"/>
          <w:i/>
          <w:iCs/>
        </w:rPr>
      </w:pPr>
      <w:r w:rsidRPr="005A55F6">
        <w:rPr>
          <w:rFonts w:ascii="Arial" w:eastAsia="Times New Roman" w:hAnsi="Arial" w:cs="Arial"/>
          <w:i/>
          <w:iCs/>
          <w:vertAlign w:val="superscript"/>
        </w:rPr>
        <w:footnoteRef/>
      </w:r>
      <w:r w:rsidRPr="005A55F6">
        <w:rPr>
          <w:rFonts w:ascii="Arial" w:eastAsia="Times New Roman" w:hAnsi="Arial" w:cs="Arial"/>
          <w:i/>
          <w:iCs/>
        </w:rPr>
        <w:t xml:space="preserve"> </w:t>
      </w:r>
      <w:r w:rsidRPr="005A55F6">
        <w:rPr>
          <w:rFonts w:ascii="Arial" w:eastAsia="Times New Roman" w:hAnsi="Arial" w:cs="Arial"/>
          <w:i/>
          <w:iCs/>
        </w:rPr>
        <w:t xml:space="preserve">Obuhvata </w:t>
      </w:r>
      <w:r w:rsidRPr="005A55F6">
        <w:rPr>
          <w:rFonts w:ascii="Arial" w:eastAsia="Times New Roman" w:hAnsi="Arial" w:cs="Arial"/>
          <w:i/>
          <w:iCs/>
        </w:rPr>
        <w:t>čišćenje tla koje rezultira povratom/</w:t>
      </w:r>
      <w:r>
        <w:rPr>
          <w:rFonts w:ascii="Arial" w:eastAsia="Times New Roman" w:hAnsi="Arial" w:cs="Arial"/>
          <w:i/>
          <w:iCs/>
        </w:rPr>
        <w:t>oporabom tla i recikliranjem ne</w:t>
      </w:r>
      <w:r w:rsidRPr="00EB099F">
        <w:rPr>
          <w:rFonts w:ascii="Arial" w:eastAsia="Times New Roman" w:hAnsi="Arial" w:cs="Arial"/>
          <w:i/>
          <w:iCs/>
        </w:rPr>
        <w:t>organskih građevinskih materijala.</w:t>
      </w:r>
    </w:p>
  </w:footnote>
  <w:footnote w:id="4">
    <w:p w:rsidR="00BF0D95" w:rsidRPr="000A3419" w:rsidRDefault="00BF0D95" w:rsidP="00BF0D95">
      <w:pPr>
        <w:pStyle w:val="FootnoteText"/>
        <w:rPr>
          <w:rFonts w:ascii="Arial" w:hAnsi="Arial" w:cs="Arial"/>
          <w:lang w:val="hr-BA"/>
        </w:rPr>
      </w:pPr>
      <w:r w:rsidRPr="00EB099F">
        <w:rPr>
          <w:rFonts w:ascii="Arial" w:eastAsia="Times New Roman" w:hAnsi="Arial" w:cs="Arial"/>
          <w:i/>
          <w:iCs/>
          <w:vertAlign w:val="superscript"/>
        </w:rPr>
        <w:footnoteRef/>
      </w:r>
      <w:r w:rsidRPr="00EB099F">
        <w:rPr>
          <w:rFonts w:ascii="Arial" w:eastAsia="Times New Roman" w:hAnsi="Arial" w:cs="Arial"/>
          <w:i/>
          <w:iCs/>
        </w:rPr>
        <w:t xml:space="preserve"> </w:t>
      </w:r>
      <w:r w:rsidRPr="00EB099F">
        <w:rPr>
          <w:rFonts w:ascii="Arial" w:eastAsia="Times New Roman" w:hAnsi="Arial" w:cs="Arial"/>
          <w:i/>
          <w:iCs/>
        </w:rPr>
        <w:t xml:space="preserve">Ako </w:t>
      </w:r>
      <w:r w:rsidRPr="00EB099F">
        <w:rPr>
          <w:rFonts w:ascii="Arial" w:eastAsia="Times New Roman" w:hAnsi="Arial" w:cs="Arial"/>
          <w:i/>
          <w:iCs/>
        </w:rPr>
        <w:t>nijedna druga oznaka R nije odgovarajuća, ova može obuhvatiti prethodne postupke prije povrata/oporabe</w:t>
      </w:r>
      <w:r w:rsidRPr="005A55F6">
        <w:rPr>
          <w:rFonts w:ascii="Arial" w:eastAsia="Times New Roman" w:hAnsi="Arial" w:cs="Arial"/>
          <w:i/>
          <w:iCs/>
        </w:rPr>
        <w:t xml:space="preserve"> uključujući prethodnu obradu kao što su, među ostalim, rastavljanje, sortiranje, drobljenje, sabijanje, peletiranje, sušenje, usitnjavanje, kondicioniranje, prepakiravanje, odvajanje, stapanje ili miješanje prije podvrgavanja bilo kojem od postupaka pod brojem R1 do R11.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95"/>
    <w:rsid w:val="000C1DBC"/>
    <w:rsid w:val="00187430"/>
    <w:rsid w:val="0057291E"/>
    <w:rsid w:val="008B5491"/>
    <w:rsid w:val="00BF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5D40"/>
  <w15:chartTrackingRefBased/>
  <w15:docId w15:val="{32A2FDB1-592D-48B0-A558-D7A9C6C3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D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F0D95"/>
    <w:rPr>
      <w:rFonts w:ascii="Calibri" w:eastAsia="Calibri" w:hAnsi="Calibri"/>
      <w:sz w:val="20"/>
      <w:szCs w:val="20"/>
      <w:lang w:val="hr-HR"/>
    </w:rPr>
  </w:style>
  <w:style w:type="character" w:customStyle="1" w:styleId="FootnoteTextChar">
    <w:name w:val="Footnote Text Char"/>
    <w:basedOn w:val="DefaultParagraphFont"/>
    <w:link w:val="FootnoteText"/>
    <w:uiPriority w:val="99"/>
    <w:rsid w:val="00BF0D95"/>
    <w:rPr>
      <w:rFonts w:ascii="Calibri" w:eastAsia="Calibri" w:hAnsi="Calibri" w:cs="Times New Roman"/>
      <w:sz w:val="20"/>
      <w:szCs w:val="20"/>
      <w:lang w:val="hr-HR"/>
    </w:rPr>
  </w:style>
  <w:style w:type="character" w:styleId="FootnoteReference">
    <w:name w:val="footnote reference"/>
    <w:uiPriority w:val="99"/>
    <w:unhideWhenUsed/>
    <w:rsid w:val="00BF0D95"/>
    <w:rPr>
      <w:vertAlign w:val="superscript"/>
    </w:rPr>
  </w:style>
  <w:style w:type="table" w:styleId="TableGrid">
    <w:name w:val="Table Grid"/>
    <w:basedOn w:val="TableNormal"/>
    <w:rsid w:val="00BF0D95"/>
    <w:pPr>
      <w:spacing w:after="0" w:line="240" w:lineRule="auto"/>
    </w:pPr>
    <w:rPr>
      <w:rFonts w:ascii="Times New Roman" w:eastAsia="Times New Roman" w:hAnsi="Times New Roman" w:cs="Times New Roman"/>
      <w:sz w:val="20"/>
      <w:szCs w:val="20"/>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1">
    <w:name w:val="ti-grseq-1"/>
    <w:basedOn w:val="Normal"/>
    <w:rsid w:val="00BF0D95"/>
    <w:pPr>
      <w:spacing w:before="100" w:beforeAutospacing="1" w:after="100" w:afterAutospacing="1"/>
    </w:pPr>
  </w:style>
  <w:style w:type="character" w:customStyle="1" w:styleId="bold">
    <w:name w:val="bold"/>
    <w:basedOn w:val="DefaultParagraphFont"/>
    <w:rsid w:val="00BF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HR/TXT/?uri=celex%3A32008L009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Suada</cp:lastModifiedBy>
  <cp:revision>1</cp:revision>
  <dcterms:created xsi:type="dcterms:W3CDTF">2023-02-20T08:59:00Z</dcterms:created>
  <dcterms:modified xsi:type="dcterms:W3CDTF">2023-02-20T09:00:00Z</dcterms:modified>
</cp:coreProperties>
</file>