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15" w:rsidRPr="005A6D21" w:rsidRDefault="00D47B15" w:rsidP="00D47B15">
      <w:pPr>
        <w:jc w:val="center"/>
        <w:rPr>
          <w:rFonts w:ascii="Arial" w:hAnsi="Arial" w:cs="Arial"/>
          <w:b/>
          <w:color w:val="000000" w:themeColor="text1"/>
          <w:sz w:val="22"/>
          <w:szCs w:val="22"/>
        </w:rPr>
      </w:pPr>
      <w:r w:rsidRPr="005A6D21">
        <w:rPr>
          <w:rFonts w:ascii="Arial" w:hAnsi="Arial" w:cs="Arial"/>
          <w:b/>
          <w:color w:val="000000" w:themeColor="text1"/>
          <w:sz w:val="22"/>
          <w:szCs w:val="22"/>
        </w:rPr>
        <w:t>PRILOG V.</w:t>
      </w:r>
    </w:p>
    <w:p w:rsidR="00D47B15" w:rsidRPr="005A6D21" w:rsidRDefault="00D47B15" w:rsidP="00D47B15">
      <w:pPr>
        <w:pStyle w:val="ti-grseq-1"/>
        <w:jc w:val="center"/>
        <w:rPr>
          <w:rFonts w:ascii="Arial" w:hAnsi="Arial" w:cs="Arial"/>
          <w:b/>
          <w:bCs/>
          <w:color w:val="000000" w:themeColor="text1"/>
          <w:sz w:val="22"/>
          <w:szCs w:val="22"/>
        </w:rPr>
      </w:pPr>
      <w:r w:rsidRPr="005A6D21">
        <w:rPr>
          <w:rStyle w:val="bold"/>
          <w:rFonts w:ascii="Arial" w:hAnsi="Arial" w:cs="Arial"/>
          <w:b/>
          <w:bCs/>
          <w:color w:val="000000" w:themeColor="text1"/>
          <w:sz w:val="22"/>
          <w:szCs w:val="22"/>
        </w:rPr>
        <w:t>POSTUPCI ZBRINJAVANJA</w:t>
      </w:r>
      <w:r w:rsidRPr="005A6D21">
        <w:rPr>
          <w:rFonts w:ascii="Arial" w:hAnsi="Arial" w:cs="Arial"/>
          <w:b/>
          <w:bCs/>
          <w:color w:val="000000" w:themeColor="text1"/>
          <w:sz w:val="22"/>
          <w:szCs w:val="22"/>
        </w:rPr>
        <w:t xml:space="preserve"> OTPADA</w:t>
      </w:r>
    </w:p>
    <w:tbl>
      <w:tblPr>
        <w:tblStyle w:val="TableGrid"/>
        <w:tblW w:w="0" w:type="auto"/>
        <w:tblLook w:val="04A0" w:firstRow="1" w:lastRow="0" w:firstColumn="1" w:lastColumn="0" w:noHBand="0" w:noVBand="1"/>
      </w:tblPr>
      <w:tblGrid>
        <w:gridCol w:w="693"/>
        <w:gridCol w:w="8657"/>
      </w:tblGrid>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1</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Odlaganje otpada u ili na tlo (npr. odlagalište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2</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Obrada otpada na ili u tlu (na primjer, biološka razgradnja tekućeg ili muljevitog otpada u tlu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3</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Duboko utiskivanje otpada (na primjer, utiskivanje otpada pumpama u bušotine, iscrpljena ležišta soli, prirodne šupljine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4</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Odlaganje otpada u površinske bazene (na primjer, odlaganje tekućeg ili muljevitog otpada u jame, bazene, lagune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5</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Odlaganje otpada na posebno pripremljeno odlagalište (odlaganje u povezane komore koje su zatvorene i izolirane jedna od druge i od okoliša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6</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Ispuštanje otpada u kopnene vode isključujući mora/okeane,</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7</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Ispuštanje otpada u mora/okeane uključujući i ukapanje u morsko dno</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8</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Biološka obrada otpada koja nije specificirana drugdje u ovim postupcima a koja za posljedicu ima konačne sastojke i mješavine koje se zbrinjavaju bilo kojim postupkom D 1 – D 12</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9</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Fizikalno-hemijska obrada otpada koja nije specificirana drugdje u ovim postupcima a koja za posljedicu ima konačne sastojke i mješavine koje se zbrinjavaju bilo kojim postupkom D 1 – D 12 (na primjer isparavanje, sušenje, kalciniranje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D10</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Spaljivanje otpada na kopnu</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11</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Spaljivanje otpada na moru</w:t>
            </w:r>
            <w:r w:rsidRPr="005A6D21">
              <w:rPr>
                <w:rStyle w:val="FootnoteReference"/>
                <w:rFonts w:ascii="Arial" w:hAnsi="Arial" w:cs="Arial"/>
                <w:color w:val="000000" w:themeColor="text1"/>
                <w:sz w:val="22"/>
                <w:szCs w:val="22"/>
              </w:rPr>
              <w:footnoteReference w:id="1"/>
            </w:r>
            <w:r w:rsidRPr="005A6D21">
              <w:rPr>
                <w:rFonts w:ascii="Arial" w:hAnsi="Arial" w:cs="Arial"/>
                <w:color w:val="000000" w:themeColor="text1"/>
                <w:sz w:val="22"/>
                <w:szCs w:val="22"/>
              </w:rPr>
              <w:t> </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 xml:space="preserve">D 12 </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Trajno skladištenje otpada (npr. smještanje spremnika u rudnike itd.)</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13</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Spajanje ili miješanje otpada prije podvrgavanja bilo kojem od postupaka D 1 – D 12</w:t>
            </w:r>
            <w:r w:rsidRPr="005A6D21">
              <w:rPr>
                <w:rStyle w:val="FootnoteReference"/>
                <w:rFonts w:ascii="Arial" w:hAnsi="Arial" w:cs="Arial"/>
                <w:color w:val="000000" w:themeColor="text1"/>
                <w:sz w:val="22"/>
                <w:szCs w:val="22"/>
              </w:rPr>
              <w:footnoteReference w:id="2"/>
            </w:r>
            <w:r w:rsidRPr="005A6D21">
              <w:rPr>
                <w:rFonts w:ascii="Arial" w:hAnsi="Arial" w:cs="Arial"/>
                <w:color w:val="000000" w:themeColor="text1"/>
                <w:sz w:val="22"/>
                <w:szCs w:val="22"/>
              </w:rPr>
              <w:t>,</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14</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Ponovno pakovanje otpada prije podvrgavanja bilo kojem od postupaka D 1 – D 13</w:t>
            </w:r>
          </w:p>
        </w:tc>
      </w:tr>
      <w:tr w:rsidR="00D47B15" w:rsidRPr="005A6D21" w:rsidTr="00990A1E">
        <w:tc>
          <w:tcPr>
            <w:tcW w:w="704" w:type="dxa"/>
          </w:tcPr>
          <w:p w:rsidR="00D47B15" w:rsidRPr="005A6D21" w:rsidRDefault="00D47B15" w:rsidP="00990A1E">
            <w:pPr>
              <w:pStyle w:val="ti-grseq-1"/>
              <w:spacing w:before="0" w:beforeAutospacing="0" w:after="0" w:afterAutospacing="0"/>
              <w:jc w:val="center"/>
              <w:rPr>
                <w:rFonts w:ascii="Arial" w:hAnsi="Arial" w:cs="Arial"/>
                <w:b/>
                <w:bCs/>
                <w:color w:val="000000" w:themeColor="text1"/>
                <w:sz w:val="22"/>
                <w:szCs w:val="22"/>
              </w:rPr>
            </w:pPr>
            <w:r w:rsidRPr="005A6D21">
              <w:rPr>
                <w:rFonts w:ascii="Arial" w:hAnsi="Arial" w:cs="Arial"/>
                <w:b/>
                <w:bCs/>
                <w:color w:val="000000" w:themeColor="text1"/>
                <w:sz w:val="22"/>
                <w:szCs w:val="22"/>
              </w:rPr>
              <w:t>D 15</w:t>
            </w:r>
          </w:p>
        </w:tc>
        <w:tc>
          <w:tcPr>
            <w:tcW w:w="9756" w:type="dxa"/>
          </w:tcPr>
          <w:p w:rsidR="00D47B15" w:rsidRPr="005A6D21" w:rsidRDefault="00D47B15" w:rsidP="00990A1E">
            <w:pPr>
              <w:pStyle w:val="ti-grseq-1"/>
              <w:spacing w:before="0" w:beforeAutospacing="0" w:after="0" w:afterAutospacing="0"/>
              <w:rPr>
                <w:rFonts w:ascii="Arial" w:hAnsi="Arial" w:cs="Arial"/>
                <w:color w:val="000000" w:themeColor="text1"/>
                <w:sz w:val="22"/>
                <w:szCs w:val="22"/>
              </w:rPr>
            </w:pPr>
            <w:r w:rsidRPr="005A6D21">
              <w:rPr>
                <w:rFonts w:ascii="Arial" w:hAnsi="Arial" w:cs="Arial"/>
                <w:color w:val="000000" w:themeColor="text1"/>
                <w:sz w:val="22"/>
                <w:szCs w:val="22"/>
              </w:rPr>
              <w:t>Skladištenje otpada prije primjene bilo kojeg od postupaka zbrinjavanja D 1 – D 14 (osim privremenog skladištenja otpada na lokaciji na kojoj je nastao, prije skupljanja).</w:t>
            </w:r>
          </w:p>
        </w:tc>
      </w:tr>
    </w:tbl>
    <w:p w:rsidR="00D47B15" w:rsidRPr="005A6D21" w:rsidRDefault="00D47B15" w:rsidP="00D47B15">
      <w:pPr>
        <w:rPr>
          <w:rFonts w:ascii="Arial" w:hAnsi="Arial" w:cs="Arial"/>
          <w:vanish/>
          <w:color w:val="000000" w:themeColor="text1"/>
          <w:sz w:val="22"/>
          <w:szCs w:val="22"/>
        </w:rPr>
      </w:pPr>
    </w:p>
    <w:p w:rsidR="00D47B15" w:rsidRPr="005A6D21" w:rsidRDefault="00D47B15" w:rsidP="00D47B15">
      <w:pPr>
        <w:jc w:val="center"/>
        <w:rPr>
          <w:rFonts w:ascii="Arial" w:hAnsi="Arial" w:cs="Arial"/>
          <w:b/>
          <w:color w:val="000000" w:themeColor="text1"/>
          <w:sz w:val="22"/>
          <w:szCs w:val="22"/>
        </w:rPr>
      </w:pPr>
    </w:p>
    <w:p w:rsidR="000C1DBC" w:rsidRPr="00D47B15" w:rsidRDefault="000C1DBC">
      <w:pPr>
        <w:rPr>
          <w:rFonts w:ascii="Arial" w:hAnsi="Arial" w:cs="Arial"/>
          <w:b/>
          <w:color w:val="000000" w:themeColor="text1"/>
          <w:sz w:val="22"/>
          <w:szCs w:val="22"/>
        </w:rPr>
      </w:pPr>
      <w:bookmarkStart w:id="0" w:name="_GoBack"/>
      <w:bookmarkEnd w:id="0"/>
    </w:p>
    <w:sectPr w:rsidR="000C1DBC" w:rsidRPr="00D47B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DFB" w:rsidRDefault="00350DFB" w:rsidP="00D47B15">
      <w:r>
        <w:separator/>
      </w:r>
    </w:p>
  </w:endnote>
  <w:endnote w:type="continuationSeparator" w:id="0">
    <w:p w:rsidR="00350DFB" w:rsidRDefault="00350DFB" w:rsidP="00D4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DFB" w:rsidRDefault="00350DFB" w:rsidP="00D47B15">
      <w:r>
        <w:separator/>
      </w:r>
    </w:p>
  </w:footnote>
  <w:footnote w:type="continuationSeparator" w:id="0">
    <w:p w:rsidR="00350DFB" w:rsidRDefault="00350DFB" w:rsidP="00D47B15">
      <w:r>
        <w:continuationSeparator/>
      </w:r>
    </w:p>
  </w:footnote>
  <w:footnote w:id="1">
    <w:p w:rsidR="00D47B15" w:rsidRPr="005A55F6" w:rsidRDefault="00D47B15" w:rsidP="00D47B15">
      <w:pPr>
        <w:pStyle w:val="FootnoteText"/>
        <w:rPr>
          <w:rFonts w:ascii="Arial" w:eastAsia="Times New Roman" w:hAnsi="Arial" w:cs="Arial"/>
          <w:i/>
          <w:iCs/>
        </w:rPr>
      </w:pPr>
      <w:r w:rsidRPr="005A55F6">
        <w:rPr>
          <w:rStyle w:val="FootnoteReference"/>
          <w:rFonts w:ascii="Arial" w:hAnsi="Arial" w:cs="Arial"/>
        </w:rPr>
        <w:footnoteRef/>
      </w:r>
      <w:r w:rsidRPr="005A55F6">
        <w:rPr>
          <w:rFonts w:ascii="Arial" w:hAnsi="Arial" w:cs="Arial"/>
        </w:rPr>
        <w:t xml:space="preserve"> </w:t>
      </w:r>
      <w:r w:rsidRPr="005A55F6">
        <w:rPr>
          <w:rFonts w:ascii="Arial" w:eastAsia="Times New Roman" w:hAnsi="Arial" w:cs="Arial"/>
          <w:i/>
          <w:iCs/>
        </w:rPr>
        <w:t>Ovaj postupak je zabranjen zakonodavstvom EU-a i međunarodnim konvencijama.</w:t>
      </w:r>
    </w:p>
  </w:footnote>
  <w:footnote w:id="2">
    <w:p w:rsidR="00D47B15" w:rsidRPr="005A55F6" w:rsidRDefault="00D47B15" w:rsidP="00D47B15">
      <w:pPr>
        <w:pStyle w:val="FootnoteText"/>
        <w:jc w:val="both"/>
        <w:rPr>
          <w:rFonts w:ascii="Arial" w:hAnsi="Arial" w:cs="Arial"/>
          <w:lang w:val="hr-BA"/>
        </w:rPr>
      </w:pPr>
      <w:r w:rsidRPr="00610547">
        <w:rPr>
          <w:rFonts w:ascii="Arial" w:eastAsia="Times New Roman" w:hAnsi="Arial" w:cs="Arial"/>
          <w:i/>
          <w:iCs/>
          <w:vertAlign w:val="superscript"/>
        </w:rPr>
        <w:footnoteRef/>
      </w:r>
      <w:r w:rsidRPr="00610547">
        <w:rPr>
          <w:rFonts w:ascii="Arial" w:eastAsia="Times New Roman" w:hAnsi="Arial" w:cs="Arial"/>
          <w:i/>
          <w:iCs/>
          <w:vertAlign w:val="superscript"/>
        </w:rPr>
        <w:t xml:space="preserve"> </w:t>
      </w:r>
      <w:r w:rsidRPr="005A55F6">
        <w:rPr>
          <w:rFonts w:ascii="Arial" w:eastAsia="Times New Roman" w:hAnsi="Arial" w:cs="Arial"/>
          <w:i/>
          <w:iCs/>
        </w:rPr>
        <w:t xml:space="preserve">Ako </w:t>
      </w:r>
      <w:r w:rsidRPr="005A55F6">
        <w:rPr>
          <w:rFonts w:ascii="Arial" w:eastAsia="Times New Roman" w:hAnsi="Arial" w:cs="Arial"/>
          <w:i/>
          <w:iCs/>
        </w:rPr>
        <w:t>nijedna druga oznaka D nije odgovarajuća, ova može obuhvatiti prethodne postupke prije zbrinjavanja uključujući prethodnu obradu, npr., među ostalim, sortiranje, drobljenje, sabijanje, peletiranje, sušenje, usitnjavanje, kondicioniranje prije podvrgavanja bilo kojem od postupaka pod brojem D1 do D12.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15"/>
    <w:rsid w:val="000C1DBC"/>
    <w:rsid w:val="00350DFB"/>
    <w:rsid w:val="0057291E"/>
    <w:rsid w:val="008B5491"/>
    <w:rsid w:val="00D4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442A"/>
  <w15:chartTrackingRefBased/>
  <w15:docId w15:val="{F8FEDB79-6946-4CC0-9E3B-4FCE40A0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B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47B15"/>
    <w:rPr>
      <w:rFonts w:ascii="Calibri" w:eastAsia="Calibri" w:hAnsi="Calibri"/>
      <w:sz w:val="20"/>
      <w:szCs w:val="20"/>
      <w:lang w:val="hr-HR"/>
    </w:rPr>
  </w:style>
  <w:style w:type="character" w:customStyle="1" w:styleId="FootnoteTextChar">
    <w:name w:val="Footnote Text Char"/>
    <w:basedOn w:val="DefaultParagraphFont"/>
    <w:link w:val="FootnoteText"/>
    <w:uiPriority w:val="99"/>
    <w:rsid w:val="00D47B15"/>
    <w:rPr>
      <w:rFonts w:ascii="Calibri" w:eastAsia="Calibri" w:hAnsi="Calibri" w:cs="Times New Roman"/>
      <w:sz w:val="20"/>
      <w:szCs w:val="20"/>
      <w:lang w:val="hr-HR"/>
    </w:rPr>
  </w:style>
  <w:style w:type="character" w:styleId="FootnoteReference">
    <w:name w:val="footnote reference"/>
    <w:uiPriority w:val="99"/>
    <w:unhideWhenUsed/>
    <w:rsid w:val="00D47B15"/>
    <w:rPr>
      <w:vertAlign w:val="superscript"/>
    </w:rPr>
  </w:style>
  <w:style w:type="table" w:styleId="TableGrid">
    <w:name w:val="Table Grid"/>
    <w:basedOn w:val="TableNormal"/>
    <w:rsid w:val="00D47B15"/>
    <w:pPr>
      <w:spacing w:after="0" w:line="240" w:lineRule="auto"/>
    </w:pPr>
    <w:rPr>
      <w:rFonts w:ascii="Times New Roman" w:eastAsia="Times New Roman" w:hAnsi="Times New Roman"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al"/>
    <w:rsid w:val="00D47B15"/>
    <w:pPr>
      <w:spacing w:before="100" w:beforeAutospacing="1" w:after="100" w:afterAutospacing="1"/>
    </w:pPr>
  </w:style>
  <w:style w:type="character" w:customStyle="1" w:styleId="bold">
    <w:name w:val="bold"/>
    <w:basedOn w:val="DefaultParagraphFont"/>
    <w:rsid w:val="00D47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1</cp:revision>
  <dcterms:created xsi:type="dcterms:W3CDTF">2023-02-20T08:58:00Z</dcterms:created>
  <dcterms:modified xsi:type="dcterms:W3CDTF">2023-02-20T08:58:00Z</dcterms:modified>
</cp:coreProperties>
</file>