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3E0" w:rsidRPr="002765F4" w:rsidRDefault="001673E0" w:rsidP="001673E0">
      <w:pPr>
        <w:pStyle w:val="NoSpacing"/>
        <w:spacing w:line="276" w:lineRule="auto"/>
        <w:jc w:val="center"/>
        <w:rPr>
          <w:rFonts w:ascii="Arial" w:hAnsi="Arial" w:cs="Arial"/>
          <w:szCs w:val="24"/>
          <w:lang w:val="bs-Latn-BA"/>
        </w:rPr>
      </w:pPr>
      <w:r w:rsidRPr="002765F4">
        <w:rPr>
          <w:rFonts w:ascii="Arial" w:hAnsi="Arial" w:cs="Arial"/>
          <w:b/>
          <w:noProof/>
        </w:rPr>
        <w:t>PRILOG Ia.</w:t>
      </w:r>
    </w:p>
    <w:p w:rsidR="001673E0" w:rsidRPr="002765F4" w:rsidRDefault="001673E0" w:rsidP="001673E0">
      <w:pPr>
        <w:pStyle w:val="NoSpacing"/>
        <w:jc w:val="center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>OPASNE SUPSTANCE</w:t>
      </w:r>
    </w:p>
    <w:p w:rsidR="001673E0" w:rsidRPr="002765F4" w:rsidRDefault="001673E0" w:rsidP="001673E0">
      <w:pPr>
        <w:pStyle w:val="NoSpacing"/>
        <w:jc w:val="center"/>
        <w:rPr>
          <w:rFonts w:ascii="Arial" w:hAnsi="Arial" w:cs="Arial"/>
          <w:b/>
          <w:noProof/>
        </w:rPr>
      </w:pP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Opasne supstance koje su obuhvaćene kategorijama opasnosti iz kolone 1. Dio 1. ovog Priloga podliježu propisanim količinama utvrđenim u kolonama 2. i 3. Dio 1. ovog priloga.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Ako je opasna supstanca obuhvaćena dijelom 1. ovog Priloga, a navedena je i u dijelu 2., primjenjuju se propisane količine utvrđene u kolonama 2. i 3. Dijela 2. ovog priloga. </w:t>
      </w:r>
    </w:p>
    <w:p w:rsidR="001673E0" w:rsidRPr="002765F4" w:rsidRDefault="001673E0" w:rsidP="001673E0">
      <w:pPr>
        <w:jc w:val="center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>DIO 1.</w:t>
      </w:r>
    </w:p>
    <w:p w:rsidR="001673E0" w:rsidRPr="002765F4" w:rsidRDefault="001673E0" w:rsidP="001673E0">
      <w:pPr>
        <w:jc w:val="center"/>
        <w:rPr>
          <w:rFonts w:ascii="Arial" w:hAnsi="Arial" w:cs="Arial"/>
          <w:b/>
          <w:i/>
          <w:noProof/>
        </w:rPr>
      </w:pPr>
      <w:r w:rsidRPr="002765F4">
        <w:rPr>
          <w:rFonts w:ascii="Arial" w:hAnsi="Arial" w:cs="Arial"/>
          <w:b/>
          <w:i/>
          <w:noProof/>
        </w:rPr>
        <w:t>Kategorije opasnih supstanci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Ovim su dijelom obuhvaćene sve opasne supsta</w:t>
      </w:r>
      <w:r>
        <w:rPr>
          <w:rFonts w:ascii="Arial" w:hAnsi="Arial" w:cs="Arial"/>
          <w:noProof/>
        </w:rPr>
        <w:t>nce</w:t>
      </w:r>
      <w:r w:rsidRPr="002765F4">
        <w:rPr>
          <w:rFonts w:ascii="Arial" w:hAnsi="Arial" w:cs="Arial"/>
          <w:noProof/>
        </w:rPr>
        <w:t xml:space="preserve"> koje potpadaju pod kategorije opasnosti iz kolone 1.: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220"/>
        <w:gridCol w:w="1530"/>
        <w:gridCol w:w="1435"/>
      </w:tblGrid>
      <w:tr w:rsidR="001673E0" w:rsidRPr="002765F4" w:rsidTr="00D312D6">
        <w:tc>
          <w:tcPr>
            <w:tcW w:w="638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Kolona 1.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Kolona 2. 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Kolona 3. </w:t>
            </w:r>
          </w:p>
        </w:tc>
      </w:tr>
      <w:tr w:rsidR="001673E0" w:rsidRPr="002765F4" w:rsidTr="00D312D6">
        <w:tc>
          <w:tcPr>
            <w:tcW w:w="1165" w:type="dxa"/>
            <w:vAlign w:val="center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Redni</w:t>
            </w:r>
            <w:r w:rsidRPr="002765F4">
              <w:rPr>
                <w:rFonts w:ascii="Arial" w:hAnsi="Arial" w:cs="Arial"/>
                <w:noProof/>
                <w:lang w:val="hr-HR"/>
              </w:rPr>
              <w:br/>
              <w:t>broj</w:t>
            </w:r>
          </w:p>
        </w:tc>
        <w:tc>
          <w:tcPr>
            <w:tcW w:w="5220" w:type="dxa"/>
            <w:vAlign w:val="center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Kategorije opasnih supstanci</w:t>
            </w:r>
          </w:p>
        </w:tc>
        <w:tc>
          <w:tcPr>
            <w:tcW w:w="2965" w:type="dxa"/>
            <w:gridSpan w:val="2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</w:rPr>
              <w:t>Donje granične količine opasnih supstanci (u tonama)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</w:rPr>
              <w:t>male količine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</w:rPr>
              <w:t>velike količine</w:t>
            </w:r>
          </w:p>
        </w:tc>
      </w:tr>
      <w:tr w:rsidR="001673E0" w:rsidRPr="002765F4" w:rsidTr="00D312D6">
        <w:tc>
          <w:tcPr>
            <w:tcW w:w="1165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5220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</w:rPr>
              <w:t>Odjeljak H OPASNOSTI ZA ZDRAVLJE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435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H1 AKUTNA TOKSIČNOST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Kategorija 1. svi putevi izlaganja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2.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H2 AKUTNA TOKSIČNOST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Kategorija 2. svi putovi izlaganja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</w:rPr>
              <w:t>Kategorija 3. izlaganje inhalacijskim putem (vidi Uputu 7. ovoga Priloga)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3.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</w:rPr>
              <w:t>H3 SPECIFIČNA TOKSIČNOST ZA CILJNE ORGANE – JEDNOKRATNO IZLAGANJE TCOJ</w:t>
            </w:r>
            <w:r w:rsidRPr="002765F4">
              <w:rPr>
                <w:rFonts w:ascii="Arial" w:hAnsi="Arial" w:cs="Arial"/>
                <w:noProof/>
              </w:rPr>
              <w:br/>
              <w:t>Kategorija 1.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1165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5220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Odjeljak P – FIZIKALNE OPASNOSTI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35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4.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P1a EKSPLOZIVI (vidi Uputu 8. ovoga Priloga)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— Nestabilni eksplozivi ili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— Eksplozivi, odlomci 1.1., 1.2., 1.3., 1.5. ili 1.6., ili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— Supstance ili smjese koje imaju eksplozivn</w:t>
            </w:r>
            <w:r>
              <w:rPr>
                <w:rFonts w:ascii="Arial" w:hAnsi="Arial" w:cs="Arial"/>
                <w:noProof/>
              </w:rPr>
              <w:t>e</w:t>
            </w:r>
            <w:r w:rsidRPr="002765F4"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noProof/>
              </w:rPr>
              <w:t>osobine</w:t>
            </w:r>
            <w:r w:rsidRPr="002765F4">
              <w:rPr>
                <w:rFonts w:ascii="Arial" w:hAnsi="Arial" w:cs="Arial"/>
                <w:noProof/>
              </w:rPr>
              <w:t xml:space="preserve"> u skladu s</w:t>
            </w:r>
            <w:r>
              <w:rPr>
                <w:rFonts w:ascii="Arial" w:hAnsi="Arial" w:cs="Arial"/>
                <w:noProof/>
              </w:rPr>
              <w:t>a</w:t>
            </w:r>
            <w:r w:rsidRPr="002765F4">
              <w:rPr>
                <w:rFonts w:ascii="Arial" w:hAnsi="Arial" w:cs="Arial"/>
                <w:noProof/>
              </w:rPr>
              <w:t xml:space="preserve"> metodom A.14 Uredbe Komisije (EZ)</w:t>
            </w:r>
            <w:r w:rsidRPr="002765F4">
              <w:rPr>
                <w:rFonts w:ascii="Arial" w:hAnsi="Arial" w:cs="Arial"/>
                <w:noProof/>
              </w:rPr>
              <w:br/>
              <w:t xml:space="preserve">br. 440/2008 od 30. </w:t>
            </w:r>
            <w:r>
              <w:rPr>
                <w:rFonts w:ascii="Arial" w:hAnsi="Arial" w:cs="Arial"/>
                <w:noProof/>
              </w:rPr>
              <w:t>maja</w:t>
            </w:r>
            <w:r w:rsidRPr="002765F4">
              <w:rPr>
                <w:rFonts w:ascii="Arial" w:hAnsi="Arial" w:cs="Arial"/>
                <w:noProof/>
              </w:rPr>
              <w:t xml:space="preserve"> 2008. o utvrđivanju ispitnih metoda u skladu</w:t>
            </w:r>
            <w:r>
              <w:rPr>
                <w:rFonts w:ascii="Arial" w:hAnsi="Arial" w:cs="Arial"/>
                <w:noProof/>
              </w:rPr>
              <w:t xml:space="preserve"> s Uredbom (EZ) br. 1907/2006 Ev</w:t>
            </w:r>
            <w:r w:rsidRPr="002765F4">
              <w:rPr>
                <w:rFonts w:ascii="Arial" w:hAnsi="Arial" w:cs="Arial"/>
                <w:noProof/>
              </w:rPr>
              <w:t>ropskoga parlamenta i Vijeća o registraciji, evaluaciji, autorizaciji i ograničavanju</w:t>
            </w:r>
            <w:r>
              <w:rPr>
                <w:rFonts w:ascii="Arial" w:hAnsi="Arial" w:cs="Arial"/>
                <w:noProof/>
              </w:rPr>
              <w:t xml:space="preserve"> h</w:t>
            </w:r>
            <w:r w:rsidRPr="002765F4">
              <w:rPr>
                <w:rFonts w:ascii="Arial" w:hAnsi="Arial" w:cs="Arial"/>
                <w:noProof/>
              </w:rPr>
              <w:t xml:space="preserve">emikalija (REACH) (Tekst značajan za EGP) (SL L 142, 31.5.2008., str. 1.) (vidi Uputu 9. ovoga Priloga) i ne </w:t>
            </w:r>
            <w:r w:rsidRPr="002765F4">
              <w:rPr>
                <w:rFonts w:ascii="Arial" w:hAnsi="Arial" w:cs="Arial"/>
                <w:noProof/>
              </w:rPr>
              <w:lastRenderedPageBreak/>
              <w:t xml:space="preserve">pripadaju razredima opasnosti organskih peroksida ili samoreagirajućih </w:t>
            </w:r>
            <w:r>
              <w:rPr>
                <w:rFonts w:ascii="Arial" w:hAnsi="Arial" w:cs="Arial"/>
                <w:noProof/>
              </w:rPr>
              <w:t>supstanci</w:t>
            </w:r>
            <w:r w:rsidRPr="002765F4">
              <w:rPr>
                <w:rFonts w:ascii="Arial" w:hAnsi="Arial" w:cs="Arial"/>
                <w:noProof/>
              </w:rPr>
              <w:t xml:space="preserve"> i smjesa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lastRenderedPageBreak/>
              <w:t>10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5.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P1b EKSPLOZIVI (vidjeti bilješku 8.) 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Eksplozivi, pododjeljak 1.4. (vidjeti bilješku 10.)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6.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P2 ZAPALJIVI </w:t>
            </w:r>
            <w:r>
              <w:rPr>
                <w:rFonts w:ascii="Arial" w:hAnsi="Arial" w:cs="Arial"/>
                <w:noProof/>
              </w:rPr>
              <w:t>GASOVI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Zapaljivi </w:t>
            </w:r>
            <w:r>
              <w:rPr>
                <w:rFonts w:ascii="Arial" w:hAnsi="Arial" w:cs="Arial"/>
                <w:noProof/>
              </w:rPr>
              <w:t>gasovi</w:t>
            </w:r>
            <w:r w:rsidRPr="002765F4">
              <w:rPr>
                <w:rFonts w:ascii="Arial" w:hAnsi="Arial" w:cs="Arial"/>
                <w:noProof/>
              </w:rPr>
              <w:t xml:space="preserve"> 1. ili 2. kategorije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7.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P3a ZAPALJIVI AEROSOLI (vidjeti bilješku 11.1.) 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„Zapaljivi” aerosoli 1. ili 2. kategorije, koji sadrže zapaljive plinove 1. ili 2. kategorije ili zapaljive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1. kategorije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150 (neto)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 (neto)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8.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P3b ZAPALJIVI AEROSOLI (vidjeti bilješku 11.1.) 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„Zapaljivi” aerosoli 1. ili 2. kategorije, koji ne sadrže zapaljive </w:t>
            </w:r>
            <w:r>
              <w:rPr>
                <w:rFonts w:ascii="Arial" w:hAnsi="Arial" w:cs="Arial"/>
                <w:noProof/>
              </w:rPr>
              <w:t>gasove</w:t>
            </w:r>
            <w:r w:rsidRPr="002765F4">
              <w:rPr>
                <w:rFonts w:ascii="Arial" w:hAnsi="Arial" w:cs="Arial"/>
                <w:noProof/>
              </w:rPr>
              <w:t xml:space="preserve"> 1. ili 2. kategorije, niti zapaljive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1. kategorije (vidjeti bilješku 11.2.)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5000 (neto)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50 000 (neto)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9.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P4 OKSIDIRAJUĆI </w:t>
            </w:r>
            <w:r>
              <w:rPr>
                <w:rFonts w:ascii="Arial" w:hAnsi="Arial" w:cs="Arial"/>
                <w:noProof/>
              </w:rPr>
              <w:t>GASOVI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Oksidirajući </w:t>
            </w:r>
            <w:r>
              <w:rPr>
                <w:rFonts w:ascii="Arial" w:hAnsi="Arial" w:cs="Arial"/>
                <w:noProof/>
              </w:rPr>
              <w:t>gasovi</w:t>
            </w:r>
            <w:r w:rsidRPr="002765F4">
              <w:rPr>
                <w:rFonts w:ascii="Arial" w:hAnsi="Arial" w:cs="Arial"/>
                <w:noProof/>
              </w:rPr>
              <w:t xml:space="preserve"> 1. kategorije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10.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P5a ZAPALJIVE </w:t>
            </w:r>
            <w:r>
              <w:rPr>
                <w:rFonts w:ascii="Arial" w:hAnsi="Arial" w:cs="Arial"/>
                <w:noProof/>
              </w:rPr>
              <w:t>TEČNOSTI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— Zapaljive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1. kategorije ili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— Zapaljive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2. ili 3. kategorije, koje se održavaju na temperaturi iznad njihove temperature vrelišta ili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— Druge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s plamištem ≤ 60 °C, koje se održavaju na temperaturi iznad njihova vrelišta (vidi Uputu 12.)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11. 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P5b ZAPALJIVE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— 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Zapaljive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2. ili 3. kategorije, ako posebni </w:t>
            </w:r>
            <w:r>
              <w:rPr>
                <w:rFonts w:ascii="Arial" w:hAnsi="Arial" w:cs="Arial"/>
                <w:noProof/>
              </w:rPr>
              <w:t>uslovi</w:t>
            </w:r>
            <w:r w:rsidRPr="002765F4">
              <w:rPr>
                <w:rFonts w:ascii="Arial" w:hAnsi="Arial" w:cs="Arial"/>
                <w:noProof/>
              </w:rPr>
              <w:t xml:space="preserve"> prerade poput visokog </w:t>
            </w:r>
            <w:r>
              <w:rPr>
                <w:rFonts w:ascii="Arial" w:hAnsi="Arial" w:cs="Arial"/>
                <w:noProof/>
              </w:rPr>
              <w:t>pritiska</w:t>
            </w:r>
            <w:r w:rsidRPr="002765F4">
              <w:rPr>
                <w:rFonts w:ascii="Arial" w:hAnsi="Arial" w:cs="Arial"/>
                <w:noProof/>
              </w:rPr>
              <w:t xml:space="preserve"> ili visoke temperature mogu uzrokovati opasnosti od velikih nesreća ili — 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Druge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s</w:t>
            </w:r>
            <w:r>
              <w:rPr>
                <w:rFonts w:ascii="Arial" w:hAnsi="Arial" w:cs="Arial"/>
                <w:noProof/>
              </w:rPr>
              <w:t>a</w:t>
            </w:r>
            <w:r w:rsidRPr="002765F4">
              <w:rPr>
                <w:rFonts w:ascii="Arial" w:hAnsi="Arial" w:cs="Arial"/>
                <w:noProof/>
              </w:rPr>
              <w:t xml:space="preserve"> plamištem ≤ 60 °C, ako posebni </w:t>
            </w:r>
            <w:r>
              <w:rPr>
                <w:rFonts w:ascii="Arial" w:hAnsi="Arial" w:cs="Arial"/>
                <w:noProof/>
              </w:rPr>
              <w:t>uslovi</w:t>
            </w:r>
            <w:r w:rsidRPr="002765F4">
              <w:rPr>
                <w:rFonts w:ascii="Arial" w:hAnsi="Arial" w:cs="Arial"/>
                <w:noProof/>
              </w:rPr>
              <w:t xml:space="preserve"> prerade poput visokog </w:t>
            </w:r>
            <w:r>
              <w:rPr>
                <w:rFonts w:ascii="Arial" w:hAnsi="Arial" w:cs="Arial"/>
                <w:noProof/>
              </w:rPr>
              <w:t>pritiska</w:t>
            </w:r>
            <w:r w:rsidRPr="002765F4">
              <w:rPr>
                <w:rFonts w:ascii="Arial" w:hAnsi="Arial" w:cs="Arial"/>
                <w:noProof/>
              </w:rPr>
              <w:t xml:space="preserve"> ili visoke temperature mogu uzrokovati opasnosti od velikih nesreća (vidjeti bilješku 12.)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12.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P5c ZAPALJIVE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Zapaljive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2. ili 3. kategorije, koje ne potpadaju pod P5a i P5b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50 000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lastRenderedPageBreak/>
              <w:t xml:space="preserve">13. 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P6a SAMOREAG</w:t>
            </w:r>
            <w:r>
              <w:rPr>
                <w:rFonts w:ascii="Arial" w:hAnsi="Arial" w:cs="Arial"/>
                <w:noProof/>
              </w:rPr>
              <w:t>U</w:t>
            </w:r>
            <w:r w:rsidRPr="002765F4">
              <w:rPr>
                <w:rFonts w:ascii="Arial" w:hAnsi="Arial" w:cs="Arial"/>
                <w:noProof/>
              </w:rPr>
              <w:t xml:space="preserve">JUĆE </w:t>
            </w:r>
            <w:r>
              <w:rPr>
                <w:rFonts w:ascii="Arial" w:hAnsi="Arial" w:cs="Arial"/>
                <w:noProof/>
              </w:rPr>
              <w:t>SUPSTANCE</w:t>
            </w:r>
            <w:r w:rsidRPr="002765F4">
              <w:rPr>
                <w:rFonts w:ascii="Arial" w:hAnsi="Arial" w:cs="Arial"/>
                <w:noProof/>
              </w:rPr>
              <w:t xml:space="preserve"> I SMJESE te ORGANSKI PEROKSIDI 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Samoreag</w:t>
            </w:r>
            <w:r>
              <w:rPr>
                <w:rFonts w:ascii="Arial" w:hAnsi="Arial" w:cs="Arial"/>
                <w:noProof/>
              </w:rPr>
              <w:t>uj</w:t>
            </w:r>
            <w:r w:rsidRPr="002765F4">
              <w:rPr>
                <w:rFonts w:ascii="Arial" w:hAnsi="Arial" w:cs="Arial"/>
                <w:noProof/>
              </w:rPr>
              <w:t xml:space="preserve">uće </w:t>
            </w:r>
            <w:r>
              <w:rPr>
                <w:rFonts w:ascii="Arial" w:hAnsi="Arial" w:cs="Arial"/>
                <w:noProof/>
              </w:rPr>
              <w:t>supstance</w:t>
            </w:r>
            <w:r w:rsidRPr="002765F4">
              <w:rPr>
                <w:rFonts w:ascii="Arial" w:hAnsi="Arial" w:cs="Arial"/>
                <w:noProof/>
              </w:rPr>
              <w:t xml:space="preserve"> i smjese tipa A ili B ili organski peroksidi tipa A ili B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14.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P6b SAMOREAG</w:t>
            </w:r>
            <w:r>
              <w:rPr>
                <w:rFonts w:ascii="Arial" w:hAnsi="Arial" w:cs="Arial"/>
                <w:noProof/>
              </w:rPr>
              <w:t>U</w:t>
            </w:r>
            <w:r w:rsidRPr="002765F4">
              <w:rPr>
                <w:rFonts w:ascii="Arial" w:hAnsi="Arial" w:cs="Arial"/>
                <w:noProof/>
              </w:rPr>
              <w:t xml:space="preserve">JUĆE </w:t>
            </w:r>
            <w:r>
              <w:rPr>
                <w:rFonts w:ascii="Arial" w:hAnsi="Arial" w:cs="Arial"/>
                <w:noProof/>
              </w:rPr>
              <w:t>SUPSTANCE</w:t>
            </w:r>
            <w:r w:rsidRPr="002765F4">
              <w:rPr>
                <w:rFonts w:ascii="Arial" w:hAnsi="Arial" w:cs="Arial"/>
                <w:noProof/>
              </w:rPr>
              <w:t xml:space="preserve"> I SMJESE te ORGANSKI PEROKSIDI 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Samoreag</w:t>
            </w:r>
            <w:r>
              <w:rPr>
                <w:rFonts w:ascii="Arial" w:hAnsi="Arial" w:cs="Arial"/>
                <w:noProof/>
              </w:rPr>
              <w:t>u</w:t>
            </w:r>
            <w:r w:rsidRPr="002765F4">
              <w:rPr>
                <w:rFonts w:ascii="Arial" w:hAnsi="Arial" w:cs="Arial"/>
                <w:noProof/>
              </w:rPr>
              <w:t xml:space="preserve">juće </w:t>
            </w:r>
            <w:r>
              <w:rPr>
                <w:rFonts w:ascii="Arial" w:hAnsi="Arial" w:cs="Arial"/>
                <w:noProof/>
              </w:rPr>
              <w:t>supstance</w:t>
            </w:r>
            <w:r w:rsidRPr="002765F4">
              <w:rPr>
                <w:rFonts w:ascii="Arial" w:hAnsi="Arial" w:cs="Arial"/>
                <w:noProof/>
              </w:rPr>
              <w:t xml:space="preserve"> i smjese tipa C, D, E ili F ili organski peroksidi tipa C, D, E ili F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15.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P7 PIROFORNE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I </w:t>
            </w:r>
            <w:r w:rsidRPr="00F64283">
              <w:rPr>
                <w:rFonts w:ascii="Arial" w:hAnsi="Arial" w:cs="Arial"/>
                <w:noProof/>
                <w:highlight w:val="yellow"/>
              </w:rPr>
              <w:t>KRUTINE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Piroforne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1. kategorije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Piroforne </w:t>
            </w:r>
            <w:r w:rsidRPr="00F64283">
              <w:rPr>
                <w:rFonts w:ascii="Arial" w:hAnsi="Arial" w:cs="Arial"/>
                <w:noProof/>
                <w:highlight w:val="yellow"/>
              </w:rPr>
              <w:t>krutine</w:t>
            </w:r>
            <w:r w:rsidRPr="002765F4">
              <w:rPr>
                <w:rFonts w:ascii="Arial" w:hAnsi="Arial" w:cs="Arial"/>
                <w:noProof/>
              </w:rPr>
              <w:t xml:space="preserve"> 1. kategorije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16. 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P8 OKSIDIRAJUĆE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I </w:t>
            </w:r>
            <w:r w:rsidRPr="00F64283">
              <w:rPr>
                <w:rFonts w:ascii="Arial" w:hAnsi="Arial" w:cs="Arial"/>
                <w:noProof/>
                <w:highlight w:val="yellow"/>
              </w:rPr>
              <w:t>KRUTINE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Oksidirajuće </w:t>
            </w:r>
            <w:r>
              <w:rPr>
                <w:rFonts w:ascii="Arial" w:hAnsi="Arial" w:cs="Arial"/>
                <w:noProof/>
              </w:rPr>
              <w:t>tečnosti</w:t>
            </w:r>
            <w:r w:rsidRPr="002765F4">
              <w:rPr>
                <w:rFonts w:ascii="Arial" w:hAnsi="Arial" w:cs="Arial"/>
                <w:noProof/>
              </w:rPr>
              <w:t xml:space="preserve"> 1., 2. ili 3. kategorije ili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Oksidirajuće </w:t>
            </w:r>
            <w:r w:rsidRPr="00F64283">
              <w:rPr>
                <w:rFonts w:ascii="Arial" w:hAnsi="Arial" w:cs="Arial"/>
                <w:noProof/>
                <w:highlight w:val="yellow"/>
              </w:rPr>
              <w:t>krutine</w:t>
            </w:r>
            <w:r w:rsidRPr="002765F4">
              <w:rPr>
                <w:rFonts w:ascii="Arial" w:hAnsi="Arial" w:cs="Arial"/>
                <w:noProof/>
              </w:rPr>
              <w:t xml:space="preserve"> 1., 2. ili 3. kategorije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1165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5220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Odjeljak E – OPASNOSTI ZA OKOLIŠ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35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17.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pStyle w:val="t-9-8-bez-uvl"/>
              <w:spacing w:after="225"/>
              <w:jc w:val="both"/>
              <w:textAlignment w:val="baseline"/>
              <w:rPr>
                <w:rFonts w:ascii="Minion Pro" w:hAnsi="Minion Pro"/>
                <w:color w:val="000000"/>
                <w:sz w:val="20"/>
              </w:rPr>
            </w:pPr>
            <w:r w:rsidRPr="002765F4">
              <w:rPr>
                <w:rFonts w:ascii="Minion Pro" w:hAnsi="Minion Pro"/>
                <w:color w:val="000000"/>
                <w:sz w:val="20"/>
                <w:szCs w:val="20"/>
              </w:rPr>
              <w:br/>
            </w:r>
            <w:r w:rsidRPr="002765F4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E1 Opasno za vodeni okoliš u 1. kategoriji akutne toksičnosti ili 1. kategoriji 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h</w:t>
            </w:r>
            <w:r w:rsidRPr="002765F4">
              <w:rPr>
                <w:rFonts w:ascii="Arial" w:eastAsiaTheme="minorHAnsi" w:hAnsi="Arial" w:cs="Arial"/>
                <w:noProof/>
                <w:sz w:val="22"/>
                <w:szCs w:val="22"/>
              </w:rPr>
              <w:t>ronične toksičnosti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18.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E2 Opasno za vodeni okoliš u 2. kategoriji </w:t>
            </w:r>
            <w:r>
              <w:rPr>
                <w:rFonts w:ascii="Arial" w:hAnsi="Arial" w:cs="Arial"/>
                <w:noProof/>
              </w:rPr>
              <w:t>h</w:t>
            </w:r>
            <w:r w:rsidRPr="002765F4">
              <w:rPr>
                <w:rFonts w:ascii="Arial" w:hAnsi="Arial" w:cs="Arial"/>
                <w:noProof/>
              </w:rPr>
              <w:t>ronične toksičnosti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</w:t>
            </w:r>
          </w:p>
        </w:tc>
      </w:tr>
      <w:tr w:rsidR="001673E0" w:rsidRPr="002765F4" w:rsidTr="00D312D6">
        <w:tc>
          <w:tcPr>
            <w:tcW w:w="1165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5220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Odjeljak O – OSTALE OPASNOSTI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35" w:type="dxa"/>
            <w:shd w:val="clear" w:color="auto" w:fill="D0CECE" w:themeFill="background2" w:themeFillShade="E6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19. 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O1 </w:t>
            </w:r>
            <w:r>
              <w:rPr>
                <w:rFonts w:ascii="Arial" w:hAnsi="Arial" w:cs="Arial"/>
                <w:noProof/>
              </w:rPr>
              <w:t>Supstance</w:t>
            </w:r>
            <w:r w:rsidRPr="002765F4">
              <w:rPr>
                <w:rFonts w:ascii="Arial" w:hAnsi="Arial" w:cs="Arial"/>
                <w:noProof/>
              </w:rPr>
              <w:t xml:space="preserve"> ili smjese s</w:t>
            </w:r>
            <w:r>
              <w:rPr>
                <w:rFonts w:ascii="Arial" w:hAnsi="Arial" w:cs="Arial"/>
                <w:noProof/>
              </w:rPr>
              <w:t>a</w:t>
            </w:r>
            <w:r w:rsidRPr="002765F4">
              <w:rPr>
                <w:rFonts w:ascii="Arial" w:hAnsi="Arial" w:cs="Arial"/>
                <w:noProof/>
              </w:rPr>
              <w:t xml:space="preserve"> oznakom opasnosti EUH014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20.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O2 </w:t>
            </w:r>
            <w:r>
              <w:rPr>
                <w:rFonts w:ascii="Arial" w:hAnsi="Arial" w:cs="Arial"/>
                <w:noProof/>
              </w:rPr>
              <w:t>Supstance</w:t>
            </w:r>
            <w:r w:rsidRPr="002765F4">
              <w:rPr>
                <w:rFonts w:ascii="Arial" w:hAnsi="Arial" w:cs="Arial"/>
                <w:noProof/>
              </w:rPr>
              <w:t xml:space="preserve"> ili smjese koje u dodiru s vodom otpuštaju zapaljive </w:t>
            </w:r>
            <w:r>
              <w:rPr>
                <w:rFonts w:ascii="Arial" w:hAnsi="Arial" w:cs="Arial"/>
                <w:noProof/>
              </w:rPr>
              <w:t>gasove</w:t>
            </w:r>
            <w:r w:rsidRPr="002765F4">
              <w:rPr>
                <w:rFonts w:ascii="Arial" w:hAnsi="Arial" w:cs="Arial"/>
                <w:noProof/>
              </w:rPr>
              <w:t>, 1. kategorija</w:t>
            </w: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</w:t>
            </w:r>
          </w:p>
        </w:tc>
      </w:tr>
      <w:tr w:rsidR="001673E0" w:rsidRPr="002765F4" w:rsidTr="00D312D6">
        <w:tc>
          <w:tcPr>
            <w:tcW w:w="116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21.</w:t>
            </w:r>
          </w:p>
        </w:tc>
        <w:tc>
          <w:tcPr>
            <w:tcW w:w="5220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O3 </w:t>
            </w:r>
            <w:r>
              <w:rPr>
                <w:rFonts w:ascii="Arial" w:hAnsi="Arial" w:cs="Arial"/>
                <w:noProof/>
              </w:rPr>
              <w:t>Supstance</w:t>
            </w:r>
            <w:r w:rsidRPr="002765F4">
              <w:rPr>
                <w:rFonts w:ascii="Arial" w:hAnsi="Arial" w:cs="Arial"/>
                <w:noProof/>
              </w:rPr>
              <w:t xml:space="preserve"> ili smjese s</w:t>
            </w:r>
            <w:r>
              <w:rPr>
                <w:rFonts w:ascii="Arial" w:hAnsi="Arial" w:cs="Arial"/>
                <w:noProof/>
              </w:rPr>
              <w:t>a</w:t>
            </w:r>
            <w:r w:rsidRPr="002765F4">
              <w:rPr>
                <w:rFonts w:ascii="Arial" w:hAnsi="Arial" w:cs="Arial"/>
                <w:noProof/>
              </w:rPr>
              <w:t xml:space="preserve"> oznakom opasnosti EUH029</w:t>
            </w:r>
          </w:p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530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43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</w:tbl>
    <w:p w:rsidR="001673E0" w:rsidRPr="002765F4" w:rsidRDefault="001673E0" w:rsidP="001673E0">
      <w:pPr>
        <w:jc w:val="both"/>
        <w:rPr>
          <w:rFonts w:ascii="Arial" w:hAnsi="Arial" w:cs="Arial"/>
          <w:noProof/>
          <w:lang w:val="hr-HR"/>
        </w:rPr>
      </w:pPr>
    </w:p>
    <w:p w:rsidR="001673E0" w:rsidRPr="002765F4" w:rsidRDefault="001673E0" w:rsidP="001673E0">
      <w:pPr>
        <w:jc w:val="center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>DIO 2.</w:t>
      </w:r>
    </w:p>
    <w:p w:rsidR="001673E0" w:rsidRPr="002765F4" w:rsidRDefault="001673E0" w:rsidP="001673E0">
      <w:pPr>
        <w:jc w:val="center"/>
        <w:rPr>
          <w:rFonts w:ascii="Arial" w:hAnsi="Arial" w:cs="Arial"/>
          <w:b/>
          <w:i/>
          <w:noProof/>
        </w:rPr>
      </w:pPr>
      <w:r w:rsidRPr="002765F4">
        <w:rPr>
          <w:rFonts w:ascii="Arial" w:hAnsi="Arial" w:cs="Arial"/>
          <w:b/>
          <w:i/>
          <w:noProof/>
        </w:rPr>
        <w:t>Nazivi opasnih supstanci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4711"/>
        <w:gridCol w:w="902"/>
        <w:gridCol w:w="1407"/>
        <w:gridCol w:w="17"/>
        <w:gridCol w:w="1507"/>
      </w:tblGrid>
      <w:tr w:rsidR="001673E0" w:rsidRPr="002765F4" w:rsidTr="00D312D6">
        <w:tc>
          <w:tcPr>
            <w:tcW w:w="6417" w:type="dxa"/>
            <w:gridSpan w:val="3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Kolona</w:t>
            </w:r>
            <w:r w:rsidRPr="002765F4">
              <w:rPr>
                <w:rFonts w:ascii="Arial" w:hAnsi="Arial" w:cs="Arial"/>
                <w:noProof/>
              </w:rPr>
              <w:t xml:space="preserve"> 1. </w:t>
            </w:r>
          </w:p>
        </w:tc>
        <w:tc>
          <w:tcPr>
            <w:tcW w:w="14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Kolona  2.</w:t>
            </w:r>
          </w:p>
        </w:tc>
        <w:tc>
          <w:tcPr>
            <w:tcW w:w="15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Kolona 3. 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Redni broj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Opasne supstance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CAS broj </w:t>
            </w:r>
          </w:p>
        </w:tc>
        <w:tc>
          <w:tcPr>
            <w:tcW w:w="2933" w:type="dxa"/>
            <w:gridSpan w:val="3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Donje granične količine opasnih </w:t>
            </w:r>
            <w:r>
              <w:rPr>
                <w:rFonts w:ascii="Arial" w:hAnsi="Arial" w:cs="Arial"/>
                <w:noProof/>
              </w:rPr>
              <w:t>supstanci</w:t>
            </w:r>
            <w:r w:rsidRPr="002765F4">
              <w:rPr>
                <w:rFonts w:ascii="Arial" w:hAnsi="Arial" w:cs="Arial"/>
                <w:noProof/>
              </w:rPr>
              <w:t xml:space="preserve"> (u tonama):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b/>
                <w:i/>
                <w:noProof/>
              </w:rPr>
            </w:pPr>
          </w:p>
        </w:tc>
        <w:tc>
          <w:tcPr>
            <w:tcW w:w="4714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b/>
                <w:i/>
                <w:noProof/>
              </w:rPr>
            </w:pP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b/>
                <w:i/>
                <w:noProof/>
              </w:rPr>
            </w:pP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Male količine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Velike količine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amonijev nitrat (vidi Uputu 13. ovoga Priloga)</w:t>
            </w:r>
          </w:p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5 000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10 000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amonijev nitrat (vidi Uputu 14. ovoga Priloga)</w:t>
            </w:r>
          </w:p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lastRenderedPageBreak/>
              <w:t>-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1 250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5 000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amonijev nitrat (vidi Uputu 15. ovoga Priloga)</w:t>
            </w:r>
          </w:p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350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2 500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pStyle w:val="t-9-8-bez-uvl"/>
              <w:spacing w:after="225"/>
              <w:textAlignment w:val="baseline"/>
              <w:rPr>
                <w:rFonts w:ascii="Minion Pro" w:hAnsi="Minion Pro"/>
                <w:color w:val="000000"/>
                <w:sz w:val="20"/>
              </w:rPr>
            </w:pPr>
            <w:r w:rsidRPr="002765F4">
              <w:rPr>
                <w:rFonts w:ascii="Minion Pro" w:hAnsi="Minion Pro"/>
                <w:color w:val="000000"/>
                <w:sz w:val="20"/>
                <w:szCs w:val="20"/>
              </w:rPr>
              <w:br/>
            </w:r>
            <w:r w:rsidRPr="002765F4">
              <w:rPr>
                <w:rFonts w:ascii="Arial" w:eastAsiaTheme="minorHAnsi" w:hAnsi="Arial" w:cs="Arial"/>
                <w:noProof/>
                <w:sz w:val="22"/>
                <w:szCs w:val="22"/>
              </w:rPr>
              <w:t>amonijev nitrat (vidi Uputu 16. ovoga Priloga)</w:t>
            </w:r>
          </w:p>
          <w:p w:rsidR="001673E0" w:rsidRPr="002765F4" w:rsidRDefault="001673E0" w:rsidP="00D312D6">
            <w:pPr>
              <w:rPr>
                <w:rFonts w:ascii="Arial" w:hAnsi="Arial" w:cs="Arial"/>
                <w:b/>
                <w:i/>
                <w:noProof/>
              </w:rPr>
            </w:pP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kalijev nitrat (vidi Uputu 17. ovoga Priloga)</w:t>
            </w:r>
          </w:p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5 000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10 000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6. 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kalijev nitrat (vidi Uputu 18. ovoga Priloga)</w:t>
            </w:r>
          </w:p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1 250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5 000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arsenov pentoksid, arsenska(V) kiselina i/ili soli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1303-28-2  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8.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arsenov trioksid, arsenska(III) kiselina i/ili soli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1327-53-3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0,1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9.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brom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7726-95-6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hlor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7782-50-5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25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11. 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b/>
                <w:i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spojevi nikla u praškastom respiratornom obliku (niklov monoksid, niklov dioksid,</w:t>
            </w:r>
            <w:r w:rsidRPr="002765F4">
              <w:rPr>
                <w:rFonts w:ascii="Arial" w:hAnsi="Arial" w:cs="Arial"/>
                <w:noProof/>
              </w:rPr>
              <w:br/>
              <w:t>niklov sulfid, triniklov disulfid, diniklov trioksid)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12.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etilenimin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151-56-4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13.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fluor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7782-41-4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14.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formaldehid (koncentracija ≥90%)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50-00-0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15.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vodik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1333-74-0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16.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vodikov </w:t>
            </w:r>
            <w:r>
              <w:rPr>
                <w:rFonts w:ascii="Arial" w:hAnsi="Arial" w:cs="Arial"/>
                <w:noProof/>
              </w:rPr>
              <w:t>h</w:t>
            </w:r>
            <w:r w:rsidRPr="002765F4">
              <w:rPr>
                <w:rFonts w:ascii="Arial" w:hAnsi="Arial" w:cs="Arial"/>
                <w:noProof/>
              </w:rPr>
              <w:t xml:space="preserve">lorid (ukapljeni </w:t>
            </w:r>
            <w:r>
              <w:rPr>
                <w:rFonts w:ascii="Arial" w:hAnsi="Arial" w:cs="Arial"/>
                <w:noProof/>
              </w:rPr>
              <w:t>gas</w:t>
            </w:r>
            <w:r w:rsidRPr="002765F4">
              <w:rPr>
                <w:rFonts w:ascii="Arial" w:hAnsi="Arial" w:cs="Arial"/>
                <w:noProof/>
              </w:rPr>
              <w:t>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7647-01-0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25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250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17.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olovni alkili</w:t>
            </w:r>
          </w:p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18.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ukapljeni vrlo lako zapaljivi </w:t>
            </w:r>
            <w:r>
              <w:rPr>
                <w:rFonts w:ascii="Arial" w:hAnsi="Arial" w:cs="Arial"/>
                <w:noProof/>
              </w:rPr>
              <w:t>gasovi</w:t>
            </w:r>
            <w:r w:rsidRPr="002765F4">
              <w:rPr>
                <w:rFonts w:ascii="Arial" w:hAnsi="Arial" w:cs="Arial"/>
                <w:noProof/>
              </w:rPr>
              <w:t xml:space="preserve"> (uključujući UNP) i prirodni </w:t>
            </w:r>
            <w:r>
              <w:rPr>
                <w:rFonts w:ascii="Arial" w:hAnsi="Arial" w:cs="Arial"/>
                <w:noProof/>
              </w:rPr>
              <w:t>gas</w:t>
            </w:r>
            <w:r w:rsidRPr="002765F4">
              <w:rPr>
                <w:rFonts w:ascii="Arial" w:hAnsi="Arial" w:cs="Arial"/>
                <w:noProof/>
              </w:rPr>
              <w:br/>
              <w:t>(vidi Uputu 7. ovoga Priloga)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19.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Acetilen</w:t>
            </w:r>
          </w:p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74-86-2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etilen oksid</w:t>
            </w:r>
          </w:p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75-21-8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21.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propilen oksid</w:t>
            </w:r>
          </w:p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75-56-9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22.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metanol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67-56-1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5 000</w:t>
            </w:r>
          </w:p>
        </w:tc>
      </w:tr>
      <w:tr w:rsidR="001673E0" w:rsidRPr="002765F4" w:rsidTr="00D312D6">
        <w:trPr>
          <w:trHeight w:val="332"/>
        </w:trPr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23.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4,4'-metilen-bis(2-kloroanilin) i/ili soli, u praškastom obliku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101-14-4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0,01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24.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metilizocianat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624-83-9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0,15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lastRenderedPageBreak/>
              <w:t>25.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kis</w:t>
            </w:r>
            <w:r>
              <w:rPr>
                <w:rFonts w:ascii="Arial" w:hAnsi="Arial" w:cs="Arial"/>
                <w:noProof/>
              </w:rPr>
              <w:t>eonik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7782-44-7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2 000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26.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2,4-diizocianatotoluen</w:t>
            </w:r>
          </w:p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2,6– diizocianatotoluen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584-84-9</w:t>
            </w:r>
          </w:p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91-08-7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27.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karbonil-diklorid (fozgen)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75-44-5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0,3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0,75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28.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arsenov trihidrid (arsin)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7784-42-1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0,2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29.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fosforov trihidrid (fosfin)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7803-51-2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0,2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30.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sumporov diklorid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10545-99-0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31.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sumporov trioksid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7446-11-9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15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75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32.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poliklorirani dibenzofurani i poliklorirani dibenzodioksini (uključujući i TCDD),</w:t>
            </w:r>
            <w:r w:rsidRPr="002765F4">
              <w:rPr>
                <w:rFonts w:ascii="Arial" w:hAnsi="Arial" w:cs="Arial"/>
                <w:noProof/>
              </w:rPr>
              <w:br/>
              <w:t>izračunani u TCDD ekvivalentnim vrijednostima (vidi Uputu 8. ovoga Priloga)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0,001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33.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karcinogene </w:t>
            </w:r>
            <w:r>
              <w:rPr>
                <w:rFonts w:ascii="Arial" w:hAnsi="Arial" w:cs="Arial"/>
                <w:noProof/>
              </w:rPr>
              <w:t>supstance</w:t>
            </w:r>
            <w:r w:rsidRPr="002765F4">
              <w:rPr>
                <w:rFonts w:ascii="Arial" w:hAnsi="Arial" w:cs="Arial"/>
                <w:noProof/>
              </w:rPr>
              <w:t xml:space="preserve"> ili smjese </w:t>
            </w:r>
            <w:r>
              <w:rPr>
                <w:rFonts w:ascii="Arial" w:hAnsi="Arial" w:cs="Arial"/>
                <w:noProof/>
              </w:rPr>
              <w:t>supstance</w:t>
            </w:r>
            <w:r w:rsidRPr="002765F4">
              <w:rPr>
                <w:rFonts w:ascii="Arial" w:hAnsi="Arial" w:cs="Arial"/>
                <w:noProof/>
              </w:rPr>
              <w:t xml:space="preserve"> koje sadrže navedene karcinogene </w:t>
            </w:r>
            <w:r>
              <w:rPr>
                <w:rFonts w:ascii="Arial" w:hAnsi="Arial" w:cs="Arial"/>
                <w:noProof/>
              </w:rPr>
              <w:t xml:space="preserve">supstance u </w:t>
            </w:r>
            <w:r w:rsidRPr="002765F4">
              <w:rPr>
                <w:rFonts w:ascii="Arial" w:hAnsi="Arial" w:cs="Arial"/>
                <w:noProof/>
              </w:rPr>
              <w:t>koncentracijama većim od 5% po masi: 4-aminobifenil i/ili njegove soli,</w:t>
            </w:r>
            <w:r w:rsidRPr="002765F4">
              <w:rPr>
                <w:rFonts w:ascii="Arial" w:hAnsi="Arial" w:cs="Arial"/>
                <w:noProof/>
              </w:rPr>
              <w:br/>
              <w:t>benzotriklorid, benzidin i/ili njegove soli, bis</w:t>
            </w:r>
            <w:r>
              <w:rPr>
                <w:rFonts w:ascii="Arial" w:hAnsi="Arial" w:cs="Arial"/>
                <w:noProof/>
              </w:rPr>
              <w:t xml:space="preserve"> (h</w:t>
            </w:r>
            <w:r w:rsidRPr="002765F4">
              <w:rPr>
                <w:rFonts w:ascii="Arial" w:hAnsi="Arial" w:cs="Arial"/>
                <w:noProof/>
              </w:rPr>
              <w:t xml:space="preserve">lorometil) eter, </w:t>
            </w:r>
            <w:r>
              <w:rPr>
                <w:rFonts w:ascii="Arial" w:hAnsi="Arial" w:cs="Arial"/>
                <w:noProof/>
              </w:rPr>
              <w:t>h</w:t>
            </w:r>
            <w:r w:rsidRPr="002765F4">
              <w:rPr>
                <w:rFonts w:ascii="Arial" w:hAnsi="Arial" w:cs="Arial"/>
                <w:noProof/>
              </w:rPr>
              <w:t>lorometil-metil-eter,</w:t>
            </w:r>
            <w:r w:rsidRPr="002765F4">
              <w:rPr>
                <w:rFonts w:ascii="Arial" w:hAnsi="Arial" w:cs="Arial"/>
                <w:noProof/>
              </w:rPr>
              <w:br/>
              <w:t>1,2-dibromoetan, dietil-sulfat, dimetil-sulfat, dimetilkarbamoil-</w:t>
            </w:r>
            <w:r>
              <w:rPr>
                <w:rFonts w:ascii="Arial" w:hAnsi="Arial" w:cs="Arial"/>
                <w:noProof/>
              </w:rPr>
              <w:t>h</w:t>
            </w:r>
            <w:r w:rsidRPr="002765F4">
              <w:rPr>
                <w:rFonts w:ascii="Arial" w:hAnsi="Arial" w:cs="Arial"/>
                <w:noProof/>
              </w:rPr>
              <w:t>lorid,</w:t>
            </w:r>
            <w:r w:rsidRPr="002765F4">
              <w:rPr>
                <w:rFonts w:ascii="Arial" w:hAnsi="Arial" w:cs="Arial"/>
                <w:noProof/>
              </w:rPr>
              <w:br/>
              <w:t>1,2-dibromo-3-</w:t>
            </w:r>
            <w:r>
              <w:rPr>
                <w:rFonts w:ascii="Arial" w:hAnsi="Arial" w:cs="Arial"/>
                <w:noProof/>
              </w:rPr>
              <w:t>h</w:t>
            </w:r>
            <w:r w:rsidRPr="002765F4">
              <w:rPr>
                <w:rFonts w:ascii="Arial" w:hAnsi="Arial" w:cs="Arial"/>
                <w:noProof/>
              </w:rPr>
              <w:t>lorpropan, 1,2-dimetilhidrazin, dimetilnitrozamin, heksametilfosforov</w:t>
            </w:r>
            <w:r w:rsidRPr="002765F4">
              <w:rPr>
                <w:rFonts w:ascii="Arial" w:hAnsi="Arial" w:cs="Arial"/>
                <w:noProof/>
              </w:rPr>
              <w:br/>
              <w:t>triamid, hidrazin, 2-naftilamin i/ili soli, 4-nitrodifenil, te 1,3-propansulton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0,5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34.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Naftni derivati i alternativna goriva:</w:t>
            </w:r>
            <w:r w:rsidRPr="002765F4">
              <w:rPr>
                <w:rFonts w:ascii="Arial" w:hAnsi="Arial" w:cs="Arial"/>
                <w:noProof/>
              </w:rPr>
              <w:br/>
              <w:t>(a) benzini i ligroini</w:t>
            </w:r>
            <w:r w:rsidRPr="002765F4">
              <w:rPr>
                <w:rFonts w:ascii="Arial" w:hAnsi="Arial" w:cs="Arial"/>
                <w:noProof/>
              </w:rPr>
              <w:br/>
              <w:t>(b) kerozini (uključujući goriva za mlazne motore)</w:t>
            </w:r>
            <w:r w:rsidRPr="002765F4">
              <w:rPr>
                <w:rFonts w:ascii="Arial" w:hAnsi="Arial" w:cs="Arial"/>
                <w:noProof/>
              </w:rPr>
              <w:br/>
              <w:t>(c) plinska ulja (uključujući dizel goriva, loživa ulja za domaćinstva i mješavine</w:t>
            </w:r>
            <w:r w:rsidRPr="002765F4">
              <w:rPr>
                <w:rFonts w:ascii="Arial" w:hAnsi="Arial" w:cs="Arial"/>
                <w:noProof/>
              </w:rPr>
              <w:br/>
              <w:t>plinskih ulja)</w:t>
            </w:r>
            <w:r w:rsidRPr="002765F4">
              <w:rPr>
                <w:rFonts w:ascii="Arial" w:hAnsi="Arial" w:cs="Arial"/>
                <w:noProof/>
              </w:rPr>
              <w:br/>
              <w:t>(d) teška loživa ulja</w:t>
            </w:r>
            <w:r w:rsidRPr="002765F4">
              <w:rPr>
                <w:rFonts w:ascii="Arial" w:hAnsi="Arial" w:cs="Arial"/>
                <w:noProof/>
              </w:rPr>
              <w:br/>
              <w:t>(e) alternativna goriva s</w:t>
            </w:r>
            <w:r>
              <w:rPr>
                <w:rFonts w:ascii="Arial" w:hAnsi="Arial" w:cs="Arial"/>
                <w:noProof/>
              </w:rPr>
              <w:t>a</w:t>
            </w:r>
            <w:r w:rsidRPr="002765F4">
              <w:rPr>
                <w:rFonts w:ascii="Arial" w:hAnsi="Arial" w:cs="Arial"/>
                <w:noProof/>
              </w:rPr>
              <w:t xml:space="preserve"> istim namjenama i sa sličnim </w:t>
            </w:r>
            <w:r>
              <w:rPr>
                <w:rFonts w:ascii="Arial" w:hAnsi="Arial" w:cs="Arial"/>
                <w:noProof/>
              </w:rPr>
              <w:t>osobinama</w:t>
            </w:r>
            <w:r w:rsidRPr="002765F4">
              <w:rPr>
                <w:rFonts w:ascii="Arial" w:hAnsi="Arial" w:cs="Arial"/>
                <w:noProof/>
              </w:rPr>
              <w:t xml:space="preserve"> zapaljivosti i</w:t>
            </w:r>
            <w:r w:rsidRPr="002765F4">
              <w:rPr>
                <w:rFonts w:ascii="Arial" w:hAnsi="Arial" w:cs="Arial"/>
                <w:noProof/>
              </w:rPr>
              <w:br/>
              <w:t>opasnosti za okoliš, kao i proizvodi navedeni u t</w:t>
            </w:r>
            <w:r>
              <w:rPr>
                <w:rFonts w:ascii="Arial" w:hAnsi="Arial" w:cs="Arial"/>
                <w:noProof/>
              </w:rPr>
              <w:t>a</w:t>
            </w:r>
            <w:r w:rsidRPr="002765F4">
              <w:rPr>
                <w:rFonts w:ascii="Arial" w:hAnsi="Arial" w:cs="Arial"/>
                <w:noProof/>
              </w:rPr>
              <w:t>čkama od (a) do (d)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2 500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25 000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35.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bezvodni amonijak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7664-41-7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36.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borov trifluorid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7637-07-2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37.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vodikov sulfid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7783-06-4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lastRenderedPageBreak/>
              <w:t>38.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piperidin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110-89-4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39.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bis(2-dimetilaminoetil)(metil)amin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3030-47-5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40.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3-(2-etilheksiloksi)propilamin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5397-31-9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41.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Smjese* natrijeva hipo</w:t>
            </w:r>
            <w:r>
              <w:rPr>
                <w:rFonts w:ascii="Arial" w:hAnsi="Arial" w:cs="Arial"/>
                <w:noProof/>
              </w:rPr>
              <w:t>h</w:t>
            </w:r>
            <w:r w:rsidRPr="002765F4">
              <w:rPr>
                <w:rFonts w:ascii="Arial" w:hAnsi="Arial" w:cs="Arial"/>
                <w:noProof/>
              </w:rPr>
              <w:t>lorita razvrstane u 1. kategoriju akutne toksičnosti za</w:t>
            </w:r>
            <w:r w:rsidRPr="002765F4">
              <w:rPr>
                <w:rFonts w:ascii="Arial" w:hAnsi="Arial" w:cs="Arial"/>
                <w:noProof/>
              </w:rPr>
              <w:br/>
              <w:t xml:space="preserve">vodeni okoliš (H400), koje sadrže manje od 5% aktivnog </w:t>
            </w:r>
            <w:r>
              <w:rPr>
                <w:rFonts w:ascii="Arial" w:hAnsi="Arial" w:cs="Arial"/>
                <w:noProof/>
              </w:rPr>
              <w:t>h</w:t>
            </w:r>
            <w:r w:rsidRPr="002765F4">
              <w:rPr>
                <w:rFonts w:ascii="Arial" w:hAnsi="Arial" w:cs="Arial"/>
                <w:noProof/>
              </w:rPr>
              <w:t>lora i nisu razvrstane</w:t>
            </w:r>
            <w:r w:rsidRPr="002765F4">
              <w:rPr>
                <w:rFonts w:ascii="Arial" w:hAnsi="Arial" w:cs="Arial"/>
                <w:noProof/>
              </w:rPr>
              <w:br/>
              <w:t>niti pod jednu drugu kategoriju opasnosti u dijelu 1., ovoga Priloga, odnosno Priloga I.B ovog pravilnika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-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42.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propilamin (vidi Uputu 21. ovoga Priloga)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107-10-8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2 000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43.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tert-butil-akrilat (vidi Uputu 21. ovoga Priloga)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1663-39-4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44.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2-metil-3-butennitril (vidi Uputu 21. ovoga Priloga)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16529-56-9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2 000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45.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tetrahidro-3,5-dimetil-1,3,5-tiadiazin-2-tion (dazomet) (vidi Uputu 21. ovoga Priloga)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533-74-4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46.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metil-akrilat (vidi Uputu 21. ovoga Priloga)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96-33-3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2 000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47.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3-metilpiridin (vidi Uputu 21. ovoga Priloga)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108-99-6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2 000</w:t>
            </w:r>
          </w:p>
        </w:tc>
      </w:tr>
      <w:tr w:rsidR="001673E0" w:rsidRPr="002765F4" w:rsidTr="00D312D6">
        <w:tc>
          <w:tcPr>
            <w:tcW w:w="805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48.</w:t>
            </w:r>
          </w:p>
        </w:tc>
        <w:tc>
          <w:tcPr>
            <w:tcW w:w="4714" w:type="dxa"/>
          </w:tcPr>
          <w:p w:rsidR="001673E0" w:rsidRPr="002765F4" w:rsidRDefault="001673E0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1-brom-3-klorpropan (vidi Uputu 21. ovoga Priloga)</w:t>
            </w:r>
          </w:p>
        </w:tc>
        <w:tc>
          <w:tcPr>
            <w:tcW w:w="89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109-70-6   </w:t>
            </w:r>
          </w:p>
        </w:tc>
        <w:tc>
          <w:tcPr>
            <w:tcW w:w="1425" w:type="dxa"/>
            <w:gridSpan w:val="2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500</w:t>
            </w:r>
          </w:p>
        </w:tc>
        <w:tc>
          <w:tcPr>
            <w:tcW w:w="150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2 000</w:t>
            </w:r>
          </w:p>
        </w:tc>
      </w:tr>
    </w:tbl>
    <w:p w:rsidR="001673E0" w:rsidRPr="002765F4" w:rsidRDefault="001673E0" w:rsidP="001673E0">
      <w:pPr>
        <w:jc w:val="center"/>
        <w:rPr>
          <w:rFonts w:ascii="Arial" w:hAnsi="Arial" w:cs="Arial"/>
          <w:b/>
          <w:i/>
          <w:noProof/>
        </w:rPr>
      </w:pP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BILJEŠKE UZ PRILOG I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1. </w:t>
      </w:r>
      <w:r>
        <w:rPr>
          <w:rFonts w:ascii="Arial" w:hAnsi="Arial" w:cs="Arial"/>
          <w:noProof/>
        </w:rPr>
        <w:t>Supstance</w:t>
      </w:r>
      <w:r w:rsidRPr="002765F4">
        <w:rPr>
          <w:rFonts w:ascii="Arial" w:hAnsi="Arial" w:cs="Arial"/>
          <w:noProof/>
        </w:rPr>
        <w:t xml:space="preserve"> i smjese razvrstane su u skladu s Uredbom (EZ) br. 1272/2008.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2. Sa smjesama se postupa na isti način kao i s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 čistim </w:t>
      </w:r>
      <w:r>
        <w:rPr>
          <w:rFonts w:ascii="Arial" w:hAnsi="Arial" w:cs="Arial"/>
          <w:noProof/>
        </w:rPr>
        <w:t>supstanca</w:t>
      </w:r>
      <w:r w:rsidRPr="002765F4">
        <w:rPr>
          <w:rFonts w:ascii="Arial" w:hAnsi="Arial" w:cs="Arial"/>
          <w:noProof/>
        </w:rPr>
        <w:t xml:space="preserve">ma, pod </w:t>
      </w:r>
      <w:r>
        <w:rPr>
          <w:rFonts w:ascii="Arial" w:hAnsi="Arial" w:cs="Arial"/>
          <w:noProof/>
        </w:rPr>
        <w:t>uslovom</w:t>
      </w:r>
      <w:r w:rsidRPr="002765F4">
        <w:rPr>
          <w:rFonts w:ascii="Arial" w:hAnsi="Arial" w:cs="Arial"/>
          <w:noProof/>
        </w:rPr>
        <w:t xml:space="preserve"> da im koncentracije ostaju unutar graničnih vrijednosti koje su utvrđene prema njihovim </w:t>
      </w:r>
      <w:r>
        <w:rPr>
          <w:rFonts w:ascii="Arial" w:hAnsi="Arial" w:cs="Arial"/>
          <w:noProof/>
        </w:rPr>
        <w:t>osobinama</w:t>
      </w:r>
      <w:r w:rsidRPr="002765F4">
        <w:rPr>
          <w:rFonts w:ascii="Arial" w:hAnsi="Arial" w:cs="Arial"/>
          <w:noProof/>
        </w:rPr>
        <w:t xml:space="preserve"> u skladu s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 Uredbom (EZ) br. 1272/2008 ili nje</w:t>
      </w:r>
      <w:r>
        <w:rPr>
          <w:rFonts w:ascii="Arial" w:hAnsi="Arial" w:cs="Arial"/>
          <w:noProof/>
        </w:rPr>
        <w:t>no</w:t>
      </w:r>
      <w:r w:rsidRPr="002765F4">
        <w:rPr>
          <w:rFonts w:ascii="Arial" w:hAnsi="Arial" w:cs="Arial"/>
          <w:noProof/>
        </w:rPr>
        <w:t>m posljednjom prilagodbom tehničkom napretku, osim ako je t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čno naveden njihov postotni sastav ili drugi opis.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3. Gore navedene propisane količine odnose se na svaki pojedini objekt.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Količine koje treba razmotriti radi primjene odgovarajućih član</w:t>
      </w:r>
      <w:r>
        <w:rPr>
          <w:rFonts w:ascii="Arial" w:hAnsi="Arial" w:cs="Arial"/>
          <w:noProof/>
        </w:rPr>
        <w:t>ova</w:t>
      </w:r>
      <w:r w:rsidRPr="002765F4">
        <w:rPr>
          <w:rFonts w:ascii="Arial" w:hAnsi="Arial" w:cs="Arial"/>
          <w:noProof/>
        </w:rPr>
        <w:t xml:space="preserve"> najveće su količine koje su ili bi mogle biti prisutne u bilo kojem trenutku. Opasne </w:t>
      </w:r>
      <w:r>
        <w:rPr>
          <w:rFonts w:ascii="Arial" w:hAnsi="Arial" w:cs="Arial"/>
          <w:noProof/>
        </w:rPr>
        <w:t>supstance</w:t>
      </w:r>
      <w:r w:rsidRPr="002765F4">
        <w:rPr>
          <w:rFonts w:ascii="Arial" w:hAnsi="Arial" w:cs="Arial"/>
          <w:noProof/>
        </w:rPr>
        <w:t xml:space="preserve"> koje su u određenom objektu prisutne samo u količinama jednakim ili manjim od 2 % odgovarajuće propisane količine zanemaruju se za potrebe </w:t>
      </w:r>
      <w:r>
        <w:rPr>
          <w:rFonts w:ascii="Arial" w:hAnsi="Arial" w:cs="Arial"/>
          <w:noProof/>
        </w:rPr>
        <w:t>proračuna</w:t>
      </w:r>
      <w:r w:rsidRPr="002765F4">
        <w:rPr>
          <w:rFonts w:ascii="Arial" w:hAnsi="Arial" w:cs="Arial"/>
          <w:noProof/>
        </w:rPr>
        <w:t xml:space="preserve"> ukupne prisutne količine ako je njihov položaj unutar objekta takav da ne mogu uzrokovati nesreću većih razmjera ni u kojem drugom dijelu tog objekta.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4. Gdje je potrebno, primjenjuju se sljedeća pravila, kojima se uređuje </w:t>
      </w:r>
      <w:r>
        <w:rPr>
          <w:rFonts w:ascii="Arial" w:hAnsi="Arial" w:cs="Arial"/>
          <w:noProof/>
        </w:rPr>
        <w:t>sabiranje</w:t>
      </w:r>
      <w:r w:rsidRPr="002765F4">
        <w:rPr>
          <w:rFonts w:ascii="Arial" w:hAnsi="Arial" w:cs="Arial"/>
          <w:noProof/>
        </w:rPr>
        <w:t xml:space="preserve"> opasnih supstanci ili kategorija opasnih supstanci.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lastRenderedPageBreak/>
        <w:t xml:space="preserve">U slučaju objekta u kojem ni jedna pojedina opasna supstanca nije prisutna u količini koja je veća ili jednaka relevantnim propisanim količinama, za utvrđivanje je li objekt obuhvaćen relevantnim zahtjevima ove Direktive primjenjuje se sljedeće pravilo.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Ova se Direktiva primjenjuje na objekte više </w:t>
      </w:r>
      <w:r w:rsidRPr="00731684">
        <w:rPr>
          <w:rFonts w:ascii="Arial" w:hAnsi="Arial" w:cs="Arial"/>
          <w:noProof/>
          <w:highlight w:val="yellow"/>
        </w:rPr>
        <w:t>razine</w:t>
      </w:r>
      <w:r w:rsidRPr="002765F4">
        <w:rPr>
          <w:rFonts w:ascii="Arial" w:hAnsi="Arial" w:cs="Arial"/>
          <w:noProof/>
        </w:rPr>
        <w:t xml:space="preserve">, ako je </w:t>
      </w:r>
      <w:r>
        <w:rPr>
          <w:rFonts w:ascii="Arial" w:hAnsi="Arial" w:cs="Arial"/>
          <w:noProof/>
        </w:rPr>
        <w:t>zbir</w:t>
      </w:r>
      <w:r w:rsidRPr="002765F4">
        <w:rPr>
          <w:rFonts w:ascii="Arial" w:hAnsi="Arial" w:cs="Arial"/>
          <w:noProof/>
        </w:rPr>
        <w:t xml:space="preserve">: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q1/QU1 + q2/QU2 + q3/QU3 + q/QU4 + q5/QU5 + … veći od ili jednak 1,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pri čemu je qx = količina opasne </w:t>
      </w:r>
      <w:r>
        <w:rPr>
          <w:rFonts w:ascii="Arial" w:hAnsi="Arial" w:cs="Arial"/>
          <w:noProof/>
        </w:rPr>
        <w:t>supstance</w:t>
      </w:r>
      <w:r w:rsidRPr="002765F4">
        <w:rPr>
          <w:rFonts w:ascii="Arial" w:hAnsi="Arial" w:cs="Arial"/>
          <w:noProof/>
        </w:rPr>
        <w:t xml:space="preserve"> × (ili kategorija opasnih </w:t>
      </w:r>
      <w:r>
        <w:rPr>
          <w:rFonts w:ascii="Arial" w:hAnsi="Arial" w:cs="Arial"/>
          <w:noProof/>
        </w:rPr>
        <w:t>supstanci</w:t>
      </w:r>
      <w:r w:rsidRPr="002765F4">
        <w:rPr>
          <w:rFonts w:ascii="Arial" w:hAnsi="Arial" w:cs="Arial"/>
          <w:noProof/>
        </w:rPr>
        <w:t xml:space="preserve">) koja potpada pod dio 1. ili dio 2. ovog Priloga,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i QUX = relevantna propis</w:t>
      </w:r>
      <w:r>
        <w:rPr>
          <w:rFonts w:ascii="Arial" w:hAnsi="Arial" w:cs="Arial"/>
          <w:noProof/>
        </w:rPr>
        <w:t>ana količina za opasnu supstancu</w:t>
      </w:r>
      <w:r w:rsidRPr="002765F4">
        <w:rPr>
          <w:rFonts w:ascii="Arial" w:hAnsi="Arial" w:cs="Arial"/>
          <w:noProof/>
        </w:rPr>
        <w:t xml:space="preserve"> ili kategoriju × iz </w:t>
      </w:r>
      <w:r>
        <w:rPr>
          <w:rFonts w:ascii="Arial" w:hAnsi="Arial" w:cs="Arial"/>
          <w:noProof/>
        </w:rPr>
        <w:t>kolone</w:t>
      </w:r>
      <w:r w:rsidRPr="002765F4">
        <w:rPr>
          <w:rFonts w:ascii="Arial" w:hAnsi="Arial" w:cs="Arial"/>
          <w:noProof/>
        </w:rPr>
        <w:t xml:space="preserve"> 3. dijela 1. ili iz </w:t>
      </w:r>
      <w:r>
        <w:rPr>
          <w:rFonts w:ascii="Arial" w:hAnsi="Arial" w:cs="Arial"/>
          <w:noProof/>
        </w:rPr>
        <w:t>kolone</w:t>
      </w:r>
      <w:r w:rsidRPr="002765F4">
        <w:rPr>
          <w:rFonts w:ascii="Arial" w:hAnsi="Arial" w:cs="Arial"/>
          <w:noProof/>
        </w:rPr>
        <w:t xml:space="preserve"> 3. dijela 2. ovog Priloga.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Ova se Direktiva primjenjuje na objekte niže </w:t>
      </w:r>
      <w:r w:rsidRPr="00731684">
        <w:rPr>
          <w:rFonts w:ascii="Arial" w:hAnsi="Arial" w:cs="Arial"/>
          <w:noProof/>
          <w:highlight w:val="yellow"/>
        </w:rPr>
        <w:t>razine</w:t>
      </w:r>
      <w:r w:rsidRPr="002765F4">
        <w:rPr>
          <w:rFonts w:ascii="Arial" w:hAnsi="Arial" w:cs="Arial"/>
          <w:noProof/>
        </w:rPr>
        <w:t xml:space="preserve">, ako je </w:t>
      </w:r>
      <w:r>
        <w:rPr>
          <w:rFonts w:ascii="Arial" w:hAnsi="Arial" w:cs="Arial"/>
          <w:noProof/>
        </w:rPr>
        <w:t>zbir</w:t>
      </w:r>
      <w:r w:rsidRPr="002765F4">
        <w:rPr>
          <w:rFonts w:ascii="Arial" w:hAnsi="Arial" w:cs="Arial"/>
          <w:noProof/>
        </w:rPr>
        <w:t xml:space="preserve">: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q1/QL1 + q2/QL2 + q3/QL3 + q4/QL4 + q5/Q L5 + … veći od ili jednak 1,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pri čemu je qx = količina opasne </w:t>
      </w:r>
      <w:r>
        <w:rPr>
          <w:rFonts w:ascii="Arial" w:hAnsi="Arial" w:cs="Arial"/>
          <w:noProof/>
        </w:rPr>
        <w:t>supstance</w:t>
      </w:r>
      <w:r w:rsidRPr="002765F4">
        <w:rPr>
          <w:rFonts w:ascii="Arial" w:hAnsi="Arial" w:cs="Arial"/>
          <w:noProof/>
        </w:rPr>
        <w:t xml:space="preserve"> × (ili kategorija opasnih </w:t>
      </w:r>
      <w:r>
        <w:rPr>
          <w:rFonts w:ascii="Arial" w:hAnsi="Arial" w:cs="Arial"/>
          <w:noProof/>
        </w:rPr>
        <w:t>supstanci</w:t>
      </w:r>
      <w:r w:rsidRPr="002765F4">
        <w:rPr>
          <w:rFonts w:ascii="Arial" w:hAnsi="Arial" w:cs="Arial"/>
          <w:noProof/>
        </w:rPr>
        <w:t>) koja potpada pod dio 1. ili dio 2. ovog Priloga i QLX = relevantna propis</w:t>
      </w:r>
      <w:r>
        <w:rPr>
          <w:rFonts w:ascii="Arial" w:hAnsi="Arial" w:cs="Arial"/>
          <w:noProof/>
        </w:rPr>
        <w:t>ana količina za opasnu supstancu</w:t>
      </w:r>
      <w:r w:rsidRPr="002765F4">
        <w:rPr>
          <w:rFonts w:ascii="Arial" w:hAnsi="Arial" w:cs="Arial"/>
          <w:noProof/>
        </w:rPr>
        <w:t xml:space="preserve"> ili kategoriju × iz </w:t>
      </w:r>
      <w:r>
        <w:rPr>
          <w:rFonts w:ascii="Arial" w:hAnsi="Arial" w:cs="Arial"/>
          <w:noProof/>
        </w:rPr>
        <w:t>kolone</w:t>
      </w:r>
      <w:r w:rsidRPr="002765F4">
        <w:rPr>
          <w:rFonts w:ascii="Arial" w:hAnsi="Arial" w:cs="Arial"/>
          <w:noProof/>
        </w:rPr>
        <w:t xml:space="preserve"> 2. dijela 1. ili iz </w:t>
      </w:r>
      <w:r>
        <w:rPr>
          <w:rFonts w:ascii="Arial" w:hAnsi="Arial" w:cs="Arial"/>
          <w:noProof/>
        </w:rPr>
        <w:t>kolone</w:t>
      </w:r>
      <w:r w:rsidRPr="002765F4">
        <w:rPr>
          <w:rFonts w:ascii="Arial" w:hAnsi="Arial" w:cs="Arial"/>
          <w:noProof/>
        </w:rPr>
        <w:t xml:space="preserve"> 2. dijela 2. ovog Priloga.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Ovo se pravilo koristi za procjenu opasnosti za zdravlje, fizičkih opasnosti i opasnosti za okoliš. Zbog toga se mora primijeniti tri puta: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(a) za </w:t>
      </w:r>
      <w:r>
        <w:rPr>
          <w:rFonts w:ascii="Arial" w:hAnsi="Arial" w:cs="Arial"/>
          <w:noProof/>
        </w:rPr>
        <w:t>sabiranje</w:t>
      </w:r>
      <w:r w:rsidRPr="002765F4">
        <w:rPr>
          <w:rFonts w:ascii="Arial" w:hAnsi="Arial" w:cs="Arial"/>
          <w:noProof/>
        </w:rPr>
        <w:t xml:space="preserve"> opasnih </w:t>
      </w:r>
      <w:r>
        <w:rPr>
          <w:rFonts w:ascii="Arial" w:hAnsi="Arial" w:cs="Arial"/>
          <w:noProof/>
        </w:rPr>
        <w:t>supstanci</w:t>
      </w:r>
      <w:r w:rsidRPr="002765F4">
        <w:rPr>
          <w:rFonts w:ascii="Arial" w:hAnsi="Arial" w:cs="Arial"/>
          <w:noProof/>
        </w:rPr>
        <w:t xml:space="preserve"> navedenih u dijelu 2., koje potpadaju pod 1., 2. ili 3. kategoriju akutne toksičnosti (izlaganje inhalacijskim putem) ili 1. kategoriju STOT SE, zajedno s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 opasnim </w:t>
      </w:r>
      <w:r>
        <w:rPr>
          <w:rFonts w:ascii="Arial" w:hAnsi="Arial" w:cs="Arial"/>
          <w:noProof/>
        </w:rPr>
        <w:t>supstanca</w:t>
      </w:r>
      <w:r w:rsidRPr="002765F4">
        <w:rPr>
          <w:rFonts w:ascii="Arial" w:hAnsi="Arial" w:cs="Arial"/>
          <w:noProof/>
        </w:rPr>
        <w:t xml:space="preserve">ma koje potpadaju pod odjeljak H, unose H1 do H3 dijela 1.;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(b) za </w:t>
      </w:r>
      <w:r>
        <w:rPr>
          <w:rFonts w:ascii="Arial" w:hAnsi="Arial" w:cs="Arial"/>
          <w:noProof/>
        </w:rPr>
        <w:t>sabiranje</w:t>
      </w:r>
      <w:r w:rsidRPr="002765F4">
        <w:rPr>
          <w:rFonts w:ascii="Arial" w:hAnsi="Arial" w:cs="Arial"/>
          <w:noProof/>
        </w:rPr>
        <w:t xml:space="preserve"> opasnih </w:t>
      </w:r>
      <w:r>
        <w:rPr>
          <w:rFonts w:ascii="Arial" w:hAnsi="Arial" w:cs="Arial"/>
          <w:noProof/>
        </w:rPr>
        <w:t>supstanci</w:t>
      </w:r>
      <w:r w:rsidRPr="002765F4">
        <w:rPr>
          <w:rFonts w:ascii="Arial" w:hAnsi="Arial" w:cs="Arial"/>
          <w:noProof/>
        </w:rPr>
        <w:t xml:space="preserve"> navedenih u dijelu 2., koje su eksplozivi, zapaljivi </w:t>
      </w:r>
      <w:r>
        <w:rPr>
          <w:rFonts w:ascii="Arial" w:hAnsi="Arial" w:cs="Arial"/>
          <w:noProof/>
        </w:rPr>
        <w:t>gasovi</w:t>
      </w:r>
      <w:r w:rsidRPr="002765F4">
        <w:rPr>
          <w:rFonts w:ascii="Arial" w:hAnsi="Arial" w:cs="Arial"/>
          <w:noProof/>
        </w:rPr>
        <w:t xml:space="preserve">, zapaljivi aerosoli, oksidirajući plinovi, zapaljive </w:t>
      </w:r>
      <w:r>
        <w:rPr>
          <w:rFonts w:ascii="Arial" w:hAnsi="Arial" w:cs="Arial"/>
          <w:noProof/>
        </w:rPr>
        <w:t>tečnosti</w:t>
      </w:r>
      <w:r w:rsidRPr="002765F4">
        <w:rPr>
          <w:rFonts w:ascii="Arial" w:hAnsi="Arial" w:cs="Arial"/>
          <w:noProof/>
        </w:rPr>
        <w:t xml:space="preserve">, samoreagirajuće </w:t>
      </w:r>
      <w:r>
        <w:rPr>
          <w:rFonts w:ascii="Arial" w:hAnsi="Arial" w:cs="Arial"/>
          <w:noProof/>
        </w:rPr>
        <w:t>supstance</w:t>
      </w:r>
      <w:r w:rsidRPr="002765F4">
        <w:rPr>
          <w:rFonts w:ascii="Arial" w:hAnsi="Arial" w:cs="Arial"/>
          <w:noProof/>
        </w:rPr>
        <w:t xml:space="preserve"> i smjese, organski peroksidi, piroforne </w:t>
      </w:r>
      <w:r>
        <w:rPr>
          <w:rFonts w:ascii="Arial" w:hAnsi="Arial" w:cs="Arial"/>
          <w:noProof/>
        </w:rPr>
        <w:t>tečnosti</w:t>
      </w:r>
      <w:r w:rsidRPr="002765F4">
        <w:rPr>
          <w:rFonts w:ascii="Arial" w:hAnsi="Arial" w:cs="Arial"/>
          <w:noProof/>
        </w:rPr>
        <w:t xml:space="preserve"> i krutine, oksidirajuće </w:t>
      </w:r>
      <w:r>
        <w:rPr>
          <w:rFonts w:ascii="Arial" w:hAnsi="Arial" w:cs="Arial"/>
          <w:noProof/>
        </w:rPr>
        <w:t>tečnosti</w:t>
      </w:r>
      <w:r w:rsidRPr="002765F4">
        <w:rPr>
          <w:rFonts w:ascii="Arial" w:hAnsi="Arial" w:cs="Arial"/>
          <w:noProof/>
        </w:rPr>
        <w:t xml:space="preserve"> i </w:t>
      </w:r>
      <w:r w:rsidRPr="00731684">
        <w:rPr>
          <w:rFonts w:ascii="Arial" w:hAnsi="Arial" w:cs="Arial"/>
          <w:noProof/>
          <w:highlight w:val="yellow"/>
        </w:rPr>
        <w:t>krutine</w:t>
      </w:r>
      <w:r w:rsidRPr="002765F4">
        <w:rPr>
          <w:rFonts w:ascii="Arial" w:hAnsi="Arial" w:cs="Arial"/>
          <w:noProof/>
        </w:rPr>
        <w:t>, zajedno s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 opasnim </w:t>
      </w:r>
      <w:r>
        <w:rPr>
          <w:rFonts w:ascii="Arial" w:hAnsi="Arial" w:cs="Arial"/>
          <w:noProof/>
        </w:rPr>
        <w:t>supstanca</w:t>
      </w:r>
      <w:r w:rsidRPr="002765F4">
        <w:rPr>
          <w:rFonts w:ascii="Arial" w:hAnsi="Arial" w:cs="Arial"/>
          <w:noProof/>
        </w:rPr>
        <w:t xml:space="preserve">ma koje potpadaju pod odjeljak P, unose P1 do P8 dijela 1.;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(c) za </w:t>
      </w:r>
      <w:r>
        <w:rPr>
          <w:rFonts w:ascii="Arial" w:hAnsi="Arial" w:cs="Arial"/>
          <w:noProof/>
        </w:rPr>
        <w:t>sabiranje</w:t>
      </w:r>
      <w:r w:rsidRPr="002765F4">
        <w:rPr>
          <w:rFonts w:ascii="Arial" w:hAnsi="Arial" w:cs="Arial"/>
          <w:noProof/>
        </w:rPr>
        <w:t xml:space="preserve"> opasnih </w:t>
      </w:r>
      <w:r>
        <w:rPr>
          <w:rFonts w:ascii="Arial" w:hAnsi="Arial" w:cs="Arial"/>
          <w:noProof/>
        </w:rPr>
        <w:t>supstanci</w:t>
      </w:r>
      <w:r w:rsidRPr="002765F4">
        <w:rPr>
          <w:rFonts w:ascii="Arial" w:hAnsi="Arial" w:cs="Arial"/>
          <w:noProof/>
        </w:rPr>
        <w:t xml:space="preserve"> navedenih u dijelu 2., koje potpadaju pod 1. kategoriju akutne toksičnosti za vodeni okoliš, 1. kategoriju </w:t>
      </w:r>
      <w:r>
        <w:rPr>
          <w:rFonts w:ascii="Arial" w:hAnsi="Arial" w:cs="Arial"/>
          <w:noProof/>
        </w:rPr>
        <w:t>h</w:t>
      </w:r>
      <w:r w:rsidRPr="002765F4">
        <w:rPr>
          <w:rFonts w:ascii="Arial" w:hAnsi="Arial" w:cs="Arial"/>
          <w:noProof/>
        </w:rPr>
        <w:t xml:space="preserve">ronične toksičnosti ili 2. kategoriju </w:t>
      </w:r>
      <w:r>
        <w:rPr>
          <w:rFonts w:ascii="Arial" w:hAnsi="Arial" w:cs="Arial"/>
          <w:noProof/>
        </w:rPr>
        <w:t>h</w:t>
      </w:r>
      <w:r w:rsidRPr="002765F4">
        <w:rPr>
          <w:rFonts w:ascii="Arial" w:hAnsi="Arial" w:cs="Arial"/>
          <w:noProof/>
        </w:rPr>
        <w:t>ronične toksičnosti, zajedno s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 opasnim </w:t>
      </w:r>
      <w:r>
        <w:rPr>
          <w:rFonts w:ascii="Arial" w:hAnsi="Arial" w:cs="Arial"/>
          <w:noProof/>
        </w:rPr>
        <w:t>supstanca</w:t>
      </w:r>
      <w:r w:rsidRPr="002765F4">
        <w:rPr>
          <w:rFonts w:ascii="Arial" w:hAnsi="Arial" w:cs="Arial"/>
          <w:noProof/>
        </w:rPr>
        <w:t xml:space="preserve">ma koje potpadaju pod odjeljak E, unose E1 i E2 dijela 1.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Relevantne odredbe ove Direktive primjenjuju se ako je bilo koji od </w:t>
      </w:r>
      <w:r>
        <w:rPr>
          <w:rFonts w:ascii="Arial" w:hAnsi="Arial" w:cs="Arial"/>
          <w:noProof/>
        </w:rPr>
        <w:t>zbirova dobij</w:t>
      </w:r>
      <w:r w:rsidRPr="002765F4">
        <w:rPr>
          <w:rFonts w:ascii="Arial" w:hAnsi="Arial" w:cs="Arial"/>
          <w:noProof/>
        </w:rPr>
        <w:t>enih pod (a), (b) ili (c) veći od ili jednak 1.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5. Opasne </w:t>
      </w:r>
      <w:r>
        <w:rPr>
          <w:rFonts w:ascii="Arial" w:hAnsi="Arial" w:cs="Arial"/>
          <w:noProof/>
        </w:rPr>
        <w:t>supstance</w:t>
      </w:r>
      <w:r w:rsidRPr="002765F4">
        <w:rPr>
          <w:rFonts w:ascii="Arial" w:hAnsi="Arial" w:cs="Arial"/>
          <w:noProof/>
        </w:rPr>
        <w:t xml:space="preserve"> koje nisu obuhvaćene Uredbom (EZ) br. 1272/2008, uključujući otpad, ali koje su ipak prisutne ili bi mogle biti prisutne u objektu i koje, pod postojećim </w:t>
      </w:r>
      <w:r>
        <w:rPr>
          <w:rFonts w:ascii="Arial" w:hAnsi="Arial" w:cs="Arial"/>
          <w:noProof/>
        </w:rPr>
        <w:t>uslovi</w:t>
      </w:r>
      <w:r w:rsidRPr="002765F4">
        <w:rPr>
          <w:rFonts w:ascii="Arial" w:hAnsi="Arial" w:cs="Arial"/>
          <w:noProof/>
        </w:rPr>
        <w:t>ma u objektu, imaju ili bi mogle imati jednak</w:t>
      </w:r>
      <w:r>
        <w:rPr>
          <w:rFonts w:ascii="Arial" w:hAnsi="Arial" w:cs="Arial"/>
          <w:noProof/>
        </w:rPr>
        <w:t>e</w:t>
      </w:r>
      <w:r w:rsidRPr="002765F4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osobine</w:t>
      </w:r>
      <w:r w:rsidRPr="002765F4">
        <w:rPr>
          <w:rFonts w:ascii="Arial" w:hAnsi="Arial" w:cs="Arial"/>
          <w:noProof/>
        </w:rPr>
        <w:t xml:space="preserve"> u smislu mogućnosti nesreće većih razmjera, privremeno se dodjeljuju najsličnijoj kategoriji ili imenovanoj opasnoj </w:t>
      </w:r>
      <w:r>
        <w:rPr>
          <w:rFonts w:ascii="Arial" w:hAnsi="Arial" w:cs="Arial"/>
          <w:noProof/>
        </w:rPr>
        <w:t>supstanci</w:t>
      </w:r>
      <w:r w:rsidRPr="002765F4">
        <w:rPr>
          <w:rFonts w:ascii="Arial" w:hAnsi="Arial" w:cs="Arial"/>
          <w:noProof/>
        </w:rPr>
        <w:t xml:space="preserve"> koja je obuhvaćena područjem primjene ove Direktive.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6. U slučaju opasnih </w:t>
      </w:r>
      <w:r>
        <w:rPr>
          <w:rFonts w:ascii="Arial" w:hAnsi="Arial" w:cs="Arial"/>
          <w:noProof/>
        </w:rPr>
        <w:t>supstanci</w:t>
      </w:r>
      <w:r w:rsidRPr="002765F4">
        <w:rPr>
          <w:rFonts w:ascii="Arial" w:hAnsi="Arial" w:cs="Arial"/>
          <w:noProof/>
        </w:rPr>
        <w:t xml:space="preserve"> koje se zbog svojih svojstava mogu razvrstati u više kategorija, za potrebe ove Direktive primjenjuju se najmanje propisane količine. Međutim, za potrebe primjene pravila iz bilješke 4., za svaku </w:t>
      </w:r>
      <w:r>
        <w:rPr>
          <w:rFonts w:ascii="Arial" w:hAnsi="Arial" w:cs="Arial"/>
          <w:noProof/>
        </w:rPr>
        <w:t>grupu</w:t>
      </w:r>
      <w:r w:rsidRPr="002765F4">
        <w:rPr>
          <w:rFonts w:ascii="Arial" w:hAnsi="Arial" w:cs="Arial"/>
          <w:noProof/>
        </w:rPr>
        <w:t xml:space="preserve"> kategorija iz bilješke 4. t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>čke (a), bilješke 4. t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>čke (b) i bilješke 4. t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čke (c) koristi se najmanja propisana količina koja odgovara dotičnom razvrstavanju.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lastRenderedPageBreak/>
        <w:t xml:space="preserve">7. Opasne </w:t>
      </w:r>
      <w:r>
        <w:rPr>
          <w:rFonts w:ascii="Arial" w:hAnsi="Arial" w:cs="Arial"/>
          <w:noProof/>
        </w:rPr>
        <w:t>supstance</w:t>
      </w:r>
      <w:r w:rsidRPr="002765F4">
        <w:rPr>
          <w:rFonts w:ascii="Arial" w:hAnsi="Arial" w:cs="Arial"/>
          <w:noProof/>
        </w:rPr>
        <w:t xml:space="preserve"> koje potpadaju pod 3. kategoriju akutne toksičnosti oralnim putem (H 301) potpadaju pod unos H2 AKUTNA TOKSIČNOST u slučaju da ih nije moguće razvrstati ni na </w:t>
      </w:r>
      <w:r>
        <w:rPr>
          <w:rFonts w:ascii="Arial" w:hAnsi="Arial" w:cs="Arial"/>
          <w:noProof/>
        </w:rPr>
        <w:t>osnovu</w:t>
      </w:r>
      <w:r w:rsidRPr="002765F4">
        <w:rPr>
          <w:rFonts w:ascii="Arial" w:hAnsi="Arial" w:cs="Arial"/>
          <w:noProof/>
        </w:rPr>
        <w:t xml:space="preserve"> akutne inhalacijske toksičnosti, ni na </w:t>
      </w:r>
      <w:r>
        <w:rPr>
          <w:rFonts w:ascii="Arial" w:hAnsi="Arial" w:cs="Arial"/>
          <w:noProof/>
        </w:rPr>
        <w:t>osnovu</w:t>
      </w:r>
      <w:r w:rsidRPr="002765F4">
        <w:rPr>
          <w:rFonts w:ascii="Arial" w:hAnsi="Arial" w:cs="Arial"/>
          <w:noProof/>
        </w:rPr>
        <w:t xml:space="preserve"> akutne dermalne toksičnosti, na primjer zbog nedostatka podataka na </w:t>
      </w:r>
      <w:r>
        <w:rPr>
          <w:rFonts w:ascii="Arial" w:hAnsi="Arial" w:cs="Arial"/>
          <w:noProof/>
        </w:rPr>
        <w:t>osnovu</w:t>
      </w:r>
      <w:r w:rsidRPr="002765F4">
        <w:rPr>
          <w:rFonts w:ascii="Arial" w:hAnsi="Arial" w:cs="Arial"/>
          <w:noProof/>
        </w:rPr>
        <w:t xml:space="preserve"> kojih se može zaključiti o njihovoj inhalacijskoj i dermalnoj toksičnosti.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8. Razred opasnosti „eksplozivi” uključuje eksplozivne artikle (vidjeti odjeljak 2.1. Priloga I. Uredbi (EZ) br. 1272/2008). Ako je poznata količina eksplozivne </w:t>
      </w:r>
      <w:r>
        <w:rPr>
          <w:rFonts w:ascii="Arial" w:hAnsi="Arial" w:cs="Arial"/>
          <w:noProof/>
        </w:rPr>
        <w:t>supstance</w:t>
      </w:r>
      <w:r w:rsidRPr="002765F4">
        <w:rPr>
          <w:rFonts w:ascii="Arial" w:hAnsi="Arial" w:cs="Arial"/>
          <w:noProof/>
        </w:rPr>
        <w:t xml:space="preserve"> ili smjese sadržane u artiklu, ta se količina uzima u obzir. Ako količina eksplozivne </w:t>
      </w:r>
      <w:r>
        <w:rPr>
          <w:rFonts w:ascii="Arial" w:hAnsi="Arial" w:cs="Arial"/>
          <w:noProof/>
        </w:rPr>
        <w:t>supstance</w:t>
      </w:r>
      <w:r w:rsidRPr="002765F4">
        <w:rPr>
          <w:rFonts w:ascii="Arial" w:hAnsi="Arial" w:cs="Arial"/>
          <w:noProof/>
        </w:rPr>
        <w:t xml:space="preserve"> ili smjese sadržane u artiklu nije poznata, onda se s cijelim artiklom postupa kao s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 eksplozivom.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9. Ispitivanje eksplozivnih </w:t>
      </w:r>
      <w:r>
        <w:rPr>
          <w:rFonts w:ascii="Arial" w:hAnsi="Arial" w:cs="Arial"/>
          <w:noProof/>
        </w:rPr>
        <w:t>osobina</w:t>
      </w:r>
      <w:r w:rsidRPr="002765F4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supstanci</w:t>
      </w:r>
      <w:r w:rsidRPr="002765F4">
        <w:rPr>
          <w:rFonts w:ascii="Arial" w:hAnsi="Arial" w:cs="Arial"/>
          <w:noProof/>
        </w:rPr>
        <w:t xml:space="preserve"> i smjesa potrebno je samo ako je postupkom kontrole u skladu s Dodatkom 6. dijelom 3. Preporuka Ujedinjenih naroda o prijevozu opasnih </w:t>
      </w:r>
      <w:r>
        <w:rPr>
          <w:rFonts w:ascii="Arial" w:hAnsi="Arial" w:cs="Arial"/>
          <w:noProof/>
        </w:rPr>
        <w:t>supstanci</w:t>
      </w:r>
      <w:r w:rsidRPr="002765F4">
        <w:rPr>
          <w:rFonts w:ascii="Arial" w:hAnsi="Arial" w:cs="Arial"/>
          <w:noProof/>
        </w:rPr>
        <w:t>, Priručnik s ispitivanjima i kriterijima (Priručnik Ujedinjenih naroda s ispitivanjima i kriterijima) (1), utvrđeno da bi supstanca ili smjesa mogla imati eksplozivn</w:t>
      </w:r>
      <w:r>
        <w:rPr>
          <w:rFonts w:ascii="Arial" w:hAnsi="Arial" w:cs="Arial"/>
          <w:noProof/>
        </w:rPr>
        <w:t>e osobine</w:t>
      </w:r>
      <w:r w:rsidRPr="002765F4">
        <w:rPr>
          <w:rFonts w:ascii="Arial" w:hAnsi="Arial" w:cs="Arial"/>
          <w:noProof/>
        </w:rPr>
        <w:t xml:space="preserve">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10. Ako eksploziv</w:t>
      </w:r>
      <w:r>
        <w:rPr>
          <w:rFonts w:ascii="Arial" w:hAnsi="Arial" w:cs="Arial"/>
          <w:noProof/>
        </w:rPr>
        <w:t>i iz pododjeljka 1.4. nisu pakovani ili su prepakov</w:t>
      </w:r>
      <w:r w:rsidRPr="002765F4">
        <w:rPr>
          <w:rFonts w:ascii="Arial" w:hAnsi="Arial" w:cs="Arial"/>
          <w:noProof/>
        </w:rPr>
        <w:t>ani, dodjeljuju se unosu P1a, osim ako se dokaže da opasnost još uvijek odgovara pododjeljku 1.4., u skladu s Uredbom (EZ) br. 1272/2008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11.1. Zapaljivi aerosoli razvrstavaju se u skladu s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 Direktivom Vijeća 75/324/EEZ od 20. </w:t>
      </w:r>
      <w:r>
        <w:rPr>
          <w:rFonts w:ascii="Arial" w:hAnsi="Arial" w:cs="Arial"/>
          <w:noProof/>
        </w:rPr>
        <w:t>maja</w:t>
      </w:r>
      <w:r w:rsidRPr="002765F4">
        <w:rPr>
          <w:rFonts w:ascii="Arial" w:hAnsi="Arial" w:cs="Arial"/>
          <w:noProof/>
        </w:rPr>
        <w:t xml:space="preserve"> 1975. o usklađivanju zakonodavstava država članica o aerosolnim raspršivačima (2) (Direktiva o aerosolnim raspršivačima). „Vrlo lako zapaljivi” i „zapaljivi” aerosoli iz Direktive 75/324/EEZ odgovaraju zapaljivim aerosolima 1. odnosno 2. kategorije iz Uredbe (EZ) br. 1272/2008.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11.2. Za uvrštavanje u ovaj unos potrebno je dokazati da aerosolni raspršivač ne sadrži zapaljivi </w:t>
      </w:r>
      <w:r>
        <w:rPr>
          <w:rFonts w:ascii="Arial" w:hAnsi="Arial" w:cs="Arial"/>
          <w:noProof/>
        </w:rPr>
        <w:t>gas</w:t>
      </w:r>
      <w:r w:rsidRPr="002765F4">
        <w:rPr>
          <w:rFonts w:ascii="Arial" w:hAnsi="Arial" w:cs="Arial"/>
          <w:noProof/>
        </w:rPr>
        <w:t xml:space="preserve"> 1. ili 2. kategorije, ni zapaljivu </w:t>
      </w:r>
      <w:r>
        <w:rPr>
          <w:rFonts w:ascii="Arial" w:hAnsi="Arial" w:cs="Arial"/>
          <w:noProof/>
        </w:rPr>
        <w:t>tečnost</w:t>
      </w:r>
      <w:r w:rsidRPr="002765F4">
        <w:rPr>
          <w:rFonts w:ascii="Arial" w:hAnsi="Arial" w:cs="Arial"/>
          <w:noProof/>
        </w:rPr>
        <w:t xml:space="preserve"> 1. kategorije.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12. U skladu sa stavkom 2.6.4.5. Priloga I. Uredbi (EZ) br. 1272/2008, </w:t>
      </w:r>
      <w:r>
        <w:rPr>
          <w:rFonts w:ascii="Arial" w:hAnsi="Arial" w:cs="Arial"/>
          <w:noProof/>
        </w:rPr>
        <w:t>tečnosti</w:t>
      </w:r>
      <w:r w:rsidRPr="002765F4">
        <w:rPr>
          <w:rFonts w:ascii="Arial" w:hAnsi="Arial" w:cs="Arial"/>
          <w:noProof/>
        </w:rPr>
        <w:t xml:space="preserve"> s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 </w:t>
      </w:r>
      <w:r w:rsidRPr="00C76CAE">
        <w:rPr>
          <w:rFonts w:ascii="Arial" w:hAnsi="Arial" w:cs="Arial"/>
          <w:noProof/>
          <w:highlight w:val="yellow"/>
        </w:rPr>
        <w:t>plamištem</w:t>
      </w:r>
      <w:r w:rsidRPr="002765F4">
        <w:rPr>
          <w:rFonts w:ascii="Arial" w:hAnsi="Arial" w:cs="Arial"/>
          <w:noProof/>
        </w:rPr>
        <w:t xml:space="preserve"> iznad 35 °C ne trebaju se razvrstati u 3. kategoriju ako su rezultati ispitivanja podržavanja gorenja L.2, prema dijelu III. odjeljku 32. Priručnika Ujedinjenih naroda za ispitivanja i kriterije, negativni. To međutim ne vrijedi u izmijenjenim </w:t>
      </w:r>
      <w:r>
        <w:rPr>
          <w:rFonts w:ascii="Arial" w:hAnsi="Arial" w:cs="Arial"/>
          <w:noProof/>
        </w:rPr>
        <w:t>uslovi</w:t>
      </w:r>
      <w:r w:rsidRPr="002765F4">
        <w:rPr>
          <w:rFonts w:ascii="Arial" w:hAnsi="Arial" w:cs="Arial"/>
          <w:noProof/>
        </w:rPr>
        <w:t xml:space="preserve">ma, kao što je visoka temperatura ili </w:t>
      </w:r>
      <w:r>
        <w:rPr>
          <w:rFonts w:ascii="Arial" w:hAnsi="Arial" w:cs="Arial"/>
          <w:noProof/>
        </w:rPr>
        <w:t>pritisak</w:t>
      </w:r>
      <w:r w:rsidRPr="002765F4">
        <w:rPr>
          <w:rFonts w:ascii="Arial" w:hAnsi="Arial" w:cs="Arial"/>
          <w:noProof/>
        </w:rPr>
        <w:t xml:space="preserve">, i zbog toga su takve </w:t>
      </w:r>
      <w:r>
        <w:rPr>
          <w:rFonts w:ascii="Arial" w:hAnsi="Arial" w:cs="Arial"/>
          <w:noProof/>
        </w:rPr>
        <w:t>tečnosti</w:t>
      </w:r>
      <w:r w:rsidRPr="002765F4">
        <w:rPr>
          <w:rFonts w:ascii="Arial" w:hAnsi="Arial" w:cs="Arial"/>
          <w:noProof/>
        </w:rPr>
        <w:t xml:space="preserve"> uključene u ovaj unos.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13. Amonijev nitrat (5 000/10 000): gnojiva podobna za samoodrživu razgradnju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Ovo se odnosi na složena/kombin</w:t>
      </w:r>
      <w:r>
        <w:rPr>
          <w:rFonts w:ascii="Arial" w:hAnsi="Arial" w:cs="Arial"/>
          <w:noProof/>
        </w:rPr>
        <w:t>ov</w:t>
      </w:r>
      <w:r w:rsidRPr="002765F4">
        <w:rPr>
          <w:rFonts w:ascii="Arial" w:hAnsi="Arial" w:cs="Arial"/>
          <w:noProof/>
        </w:rPr>
        <w:t>ana gnojiva na bazi amonijevog nitrata (složena/kombin</w:t>
      </w:r>
      <w:r>
        <w:rPr>
          <w:rFonts w:ascii="Arial" w:hAnsi="Arial" w:cs="Arial"/>
          <w:noProof/>
        </w:rPr>
        <w:t>ov</w:t>
      </w:r>
      <w:r w:rsidRPr="002765F4">
        <w:rPr>
          <w:rFonts w:ascii="Arial" w:hAnsi="Arial" w:cs="Arial"/>
          <w:noProof/>
        </w:rPr>
        <w:t>ana gnojiva sadrže amonijev nitrat s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 fosfatom i/ili potašom) podobna za samoodrživu razgradnju prema ispitivanju UN-a u koritu (vidjeti Priručnik Ujedinjenih naroda s ispitivanjima i kriterijima, dio III. pododjeljak 38.2.), i u kojima je maseni udio </w:t>
      </w:r>
      <w:r>
        <w:rPr>
          <w:rFonts w:ascii="Arial" w:hAnsi="Arial" w:cs="Arial"/>
          <w:noProof/>
        </w:rPr>
        <w:t>azota koji poti</w:t>
      </w:r>
      <w:r w:rsidRPr="002765F4">
        <w:rPr>
          <w:rFonts w:ascii="Arial" w:hAnsi="Arial" w:cs="Arial"/>
          <w:noProof/>
        </w:rPr>
        <w:t xml:space="preserve">če iz amonijevog nitrata: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— između 15,75 % (1) i 24,5 % (2) masenog udjela</w:t>
      </w:r>
      <w:r>
        <w:rPr>
          <w:rFonts w:ascii="Arial" w:hAnsi="Arial" w:cs="Arial"/>
          <w:noProof/>
        </w:rPr>
        <w:t>,</w:t>
      </w:r>
      <w:r w:rsidRPr="002765F4">
        <w:rPr>
          <w:rFonts w:ascii="Arial" w:hAnsi="Arial" w:cs="Arial"/>
          <w:noProof/>
        </w:rPr>
        <w:t xml:space="preserve"> te koja ili sadrže ukupno najviše 0,4 % zapaljivih/organskih </w:t>
      </w:r>
      <w:r>
        <w:rPr>
          <w:rFonts w:ascii="Arial" w:hAnsi="Arial" w:cs="Arial"/>
          <w:noProof/>
        </w:rPr>
        <w:t>supstanci</w:t>
      </w:r>
      <w:r w:rsidRPr="002765F4">
        <w:rPr>
          <w:rFonts w:ascii="Arial" w:hAnsi="Arial" w:cs="Arial"/>
          <w:noProof/>
        </w:rPr>
        <w:t xml:space="preserve"> ili udovoljavaju zahtjevima iz Priloga III.-2 Uredbi (EZ) br. 2003/2003 E</w:t>
      </w:r>
      <w:r>
        <w:rPr>
          <w:rFonts w:ascii="Arial" w:hAnsi="Arial" w:cs="Arial"/>
          <w:noProof/>
        </w:rPr>
        <w:t>v</w:t>
      </w:r>
      <w:r w:rsidRPr="002765F4">
        <w:rPr>
          <w:rFonts w:ascii="Arial" w:hAnsi="Arial" w:cs="Arial"/>
          <w:noProof/>
        </w:rPr>
        <w:t xml:space="preserve">ropskog parlamenta i Vijeća od 13. listopada 2003. o gnojivima (3),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— 15,75 % ili manje, uz neograničenu količinu zapaljivih </w:t>
      </w:r>
      <w:r>
        <w:rPr>
          <w:rFonts w:ascii="Arial" w:hAnsi="Arial" w:cs="Arial"/>
          <w:noProof/>
        </w:rPr>
        <w:t>supstanci</w:t>
      </w:r>
      <w:r w:rsidRPr="002765F4">
        <w:rPr>
          <w:rFonts w:ascii="Arial" w:hAnsi="Arial" w:cs="Arial"/>
          <w:noProof/>
        </w:rPr>
        <w:t>.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14. Amonijev nitrat (1 250/5 000): gnojivo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lastRenderedPageBreak/>
        <w:t>Ovo se odnosi na obična gnojiva na bazi amonijevog nitrata i složena/kombin</w:t>
      </w:r>
      <w:r>
        <w:rPr>
          <w:rFonts w:ascii="Arial" w:hAnsi="Arial" w:cs="Arial"/>
          <w:noProof/>
        </w:rPr>
        <w:t>ov</w:t>
      </w:r>
      <w:r w:rsidRPr="002765F4">
        <w:rPr>
          <w:rFonts w:ascii="Arial" w:hAnsi="Arial" w:cs="Arial"/>
          <w:noProof/>
        </w:rPr>
        <w:t xml:space="preserve">ana gnojiva na bazi amonijevog nitrata koja udovoljavaju zahtjevima Priloga III.-2 Uredbi (EZ) br. 2003/2003 i u kojima je maseni udio </w:t>
      </w:r>
      <w:r>
        <w:rPr>
          <w:rFonts w:ascii="Arial" w:hAnsi="Arial" w:cs="Arial"/>
          <w:noProof/>
        </w:rPr>
        <w:t>azota koji poti</w:t>
      </w:r>
      <w:r w:rsidRPr="002765F4">
        <w:rPr>
          <w:rFonts w:ascii="Arial" w:hAnsi="Arial" w:cs="Arial"/>
          <w:noProof/>
        </w:rPr>
        <w:t xml:space="preserve">če iz amonijevog nitrata: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— veći od 24,5 %, osim za smjese čistih gnojiva na bazi amonijevog nitrata s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 dolomitom, </w:t>
      </w:r>
      <w:r>
        <w:rPr>
          <w:rFonts w:ascii="Arial" w:hAnsi="Arial" w:cs="Arial"/>
          <w:noProof/>
        </w:rPr>
        <w:t>krečnjakom</w:t>
      </w:r>
      <w:r w:rsidRPr="002765F4">
        <w:rPr>
          <w:rFonts w:ascii="Arial" w:hAnsi="Arial" w:cs="Arial"/>
          <w:noProof/>
        </w:rPr>
        <w:t xml:space="preserve"> i/ili kalcijevim karbonatom najmanje 90-postotne čistoće,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— veći od 15,75 % za smjese amonijevog nitrata i amonijevog sulfata,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— veći od 28 % (4) za smjese čistih gnojiva na bazi amonijevog nitrata s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 dolomitom, </w:t>
      </w:r>
      <w:r>
        <w:rPr>
          <w:rFonts w:ascii="Arial" w:hAnsi="Arial" w:cs="Arial"/>
          <w:noProof/>
        </w:rPr>
        <w:t>krečnjakom</w:t>
      </w:r>
      <w:r w:rsidRPr="002765F4">
        <w:rPr>
          <w:rFonts w:ascii="Arial" w:hAnsi="Arial" w:cs="Arial"/>
          <w:noProof/>
        </w:rPr>
        <w:t xml:space="preserve"> i/ili kalcijevim karbonatom najmanje 90-postotne čistoće.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15. Amonijev nitrat (350/2 500): tehnički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Ovo se odnosi na amonijev nitrat i smjese amonijevog nitrata u kojima je maseni udio </w:t>
      </w:r>
      <w:r>
        <w:rPr>
          <w:rFonts w:ascii="Arial" w:hAnsi="Arial" w:cs="Arial"/>
          <w:noProof/>
        </w:rPr>
        <w:t>azota koji poti</w:t>
      </w:r>
      <w:r w:rsidRPr="002765F4">
        <w:rPr>
          <w:rFonts w:ascii="Arial" w:hAnsi="Arial" w:cs="Arial"/>
          <w:noProof/>
        </w:rPr>
        <w:t xml:space="preserve">če iz amonijevog nitrata: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— između 24,5 % i 28 %, a koji ne sadrže više od 0,4 % zapaljivih </w:t>
      </w:r>
      <w:r>
        <w:rPr>
          <w:rFonts w:ascii="Arial" w:hAnsi="Arial" w:cs="Arial"/>
          <w:noProof/>
        </w:rPr>
        <w:t>supstanci</w:t>
      </w:r>
      <w:r w:rsidRPr="002765F4">
        <w:rPr>
          <w:rFonts w:ascii="Arial" w:hAnsi="Arial" w:cs="Arial"/>
          <w:noProof/>
        </w:rPr>
        <w:t xml:space="preserve">,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— veći od 28 %, a koji ne sadrže više od 0,2 % zapaljivih </w:t>
      </w:r>
      <w:r>
        <w:rPr>
          <w:rFonts w:ascii="Arial" w:hAnsi="Arial" w:cs="Arial"/>
          <w:noProof/>
        </w:rPr>
        <w:t>supstanci</w:t>
      </w:r>
      <w:r w:rsidRPr="002765F4">
        <w:rPr>
          <w:rFonts w:ascii="Arial" w:hAnsi="Arial" w:cs="Arial"/>
          <w:noProof/>
        </w:rPr>
        <w:t xml:space="preserve">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Ta</w:t>
      </w:r>
      <w:r>
        <w:rPr>
          <w:rFonts w:ascii="Arial" w:hAnsi="Arial" w:cs="Arial"/>
          <w:noProof/>
        </w:rPr>
        <w:t>kođe</w:t>
      </w:r>
      <w:r w:rsidRPr="002765F4">
        <w:rPr>
          <w:rFonts w:ascii="Arial" w:hAnsi="Arial" w:cs="Arial"/>
          <w:noProof/>
        </w:rPr>
        <w:t xml:space="preserve"> se odnosi na vodene </w:t>
      </w:r>
      <w:r>
        <w:rPr>
          <w:rFonts w:ascii="Arial" w:hAnsi="Arial" w:cs="Arial"/>
          <w:noProof/>
        </w:rPr>
        <w:t xml:space="preserve">rastvore </w:t>
      </w:r>
      <w:r w:rsidRPr="002765F4">
        <w:rPr>
          <w:rFonts w:ascii="Arial" w:hAnsi="Arial" w:cs="Arial"/>
          <w:noProof/>
        </w:rPr>
        <w:t>amonijevog nitrata u kojima je koncentracija amonijevog nitrata veća od 80 %.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16. Amonijev nitrat (10/50): materijal koji ne odgovara specifikacijama („off-specs”) i gnojiva koja nisu prošla test otpornosti na detonaciju</w:t>
      </w:r>
      <w:r>
        <w:rPr>
          <w:rFonts w:ascii="Arial" w:hAnsi="Arial" w:cs="Arial"/>
          <w:noProof/>
        </w:rPr>
        <w:t>.</w:t>
      </w:r>
      <w:r w:rsidRPr="002765F4">
        <w:rPr>
          <w:rFonts w:ascii="Arial" w:hAnsi="Arial" w:cs="Arial"/>
          <w:noProof/>
        </w:rPr>
        <w:t xml:space="preserve">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Ovo se odnosi na: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— materijal odbačen u procesu proizvodnje i na amonijev nitrat</w:t>
      </w:r>
      <w:r>
        <w:rPr>
          <w:rFonts w:ascii="Arial" w:hAnsi="Arial" w:cs="Arial"/>
          <w:noProof/>
        </w:rPr>
        <w:t>,</w:t>
      </w:r>
      <w:r w:rsidRPr="002765F4">
        <w:rPr>
          <w:rFonts w:ascii="Arial" w:hAnsi="Arial" w:cs="Arial"/>
          <w:noProof/>
        </w:rPr>
        <w:t xml:space="preserve"> te na amonijev nitrat i smjese od amonijevog nitrata, čista gnojiva na bazi amonijevog nitrata i složena/kombin</w:t>
      </w:r>
      <w:r>
        <w:rPr>
          <w:rFonts w:ascii="Arial" w:hAnsi="Arial" w:cs="Arial"/>
          <w:noProof/>
        </w:rPr>
        <w:t>ov</w:t>
      </w:r>
      <w:r w:rsidRPr="002765F4">
        <w:rPr>
          <w:rFonts w:ascii="Arial" w:hAnsi="Arial" w:cs="Arial"/>
          <w:noProof/>
        </w:rPr>
        <w:t>ana gnojiva na bazi amonijevog nitrata iz bilježaka 14. i 15., koja krajnji korisnik vraća ili je vratio proizvođaču, privremenom skladištu ili pogonu za preradu radi dorade, reci</w:t>
      </w:r>
      <w:r>
        <w:rPr>
          <w:rFonts w:ascii="Arial" w:hAnsi="Arial" w:cs="Arial"/>
          <w:noProof/>
        </w:rPr>
        <w:t>kliranja ili obrade radi sigurnog</w:t>
      </w:r>
      <w:r w:rsidRPr="002765F4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korištenja</w:t>
      </w:r>
      <w:r w:rsidRPr="002765F4">
        <w:rPr>
          <w:rFonts w:ascii="Arial" w:hAnsi="Arial" w:cs="Arial"/>
          <w:noProof/>
        </w:rPr>
        <w:t xml:space="preserve"> zato što više ne odgovaraju specifikacijama iz bilježaka 14. i 15.,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— gnojiva iz prve alineje bilješke 13. i iz bilješke 14. ovog Priloga, koja ne udovoljavaju zahtjevima Priloga III.-2 Uredbi (EZ) br. 2003/2003.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17. Kalijev nitrat (5 000/10 000)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Ovo se odnosi na kombin</w:t>
      </w:r>
      <w:r>
        <w:rPr>
          <w:rFonts w:ascii="Arial" w:hAnsi="Arial" w:cs="Arial"/>
          <w:noProof/>
        </w:rPr>
        <w:t>ov</w:t>
      </w:r>
      <w:r w:rsidRPr="002765F4">
        <w:rPr>
          <w:rFonts w:ascii="Arial" w:hAnsi="Arial" w:cs="Arial"/>
          <w:noProof/>
        </w:rPr>
        <w:t>ana gnojiva na bazi kalijevog nitrata (u kuglicama/granulama), koja imaju ist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 opasn</w:t>
      </w:r>
      <w:r>
        <w:rPr>
          <w:rFonts w:ascii="Arial" w:hAnsi="Arial" w:cs="Arial"/>
          <w:noProof/>
        </w:rPr>
        <w:t>a</w:t>
      </w:r>
      <w:r w:rsidRPr="002765F4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osobine</w:t>
      </w:r>
      <w:r w:rsidRPr="002765F4">
        <w:rPr>
          <w:rFonts w:ascii="Arial" w:hAnsi="Arial" w:cs="Arial"/>
          <w:noProof/>
        </w:rPr>
        <w:t xml:space="preserve"> kao i čisti kalijev nitrat.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18. Kalijev nitrat (1 250/5 000)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 Ovo se odnosi na kombin</w:t>
      </w:r>
      <w:r>
        <w:rPr>
          <w:rFonts w:ascii="Arial" w:hAnsi="Arial" w:cs="Arial"/>
          <w:noProof/>
        </w:rPr>
        <w:t>ov</w:t>
      </w:r>
      <w:r w:rsidRPr="002765F4">
        <w:rPr>
          <w:rFonts w:ascii="Arial" w:hAnsi="Arial" w:cs="Arial"/>
          <w:noProof/>
        </w:rPr>
        <w:t>ana gnojiva na bazi kalijevog nitrata (u kristalnom obliku), koja imaju ist</w:t>
      </w:r>
      <w:r>
        <w:rPr>
          <w:rFonts w:ascii="Arial" w:hAnsi="Arial" w:cs="Arial"/>
          <w:noProof/>
        </w:rPr>
        <w:t>e</w:t>
      </w:r>
      <w:r w:rsidRPr="002765F4">
        <w:rPr>
          <w:rFonts w:ascii="Arial" w:hAnsi="Arial" w:cs="Arial"/>
          <w:noProof/>
        </w:rPr>
        <w:t xml:space="preserve"> opasn</w:t>
      </w:r>
      <w:r>
        <w:rPr>
          <w:rFonts w:ascii="Arial" w:hAnsi="Arial" w:cs="Arial"/>
          <w:noProof/>
        </w:rPr>
        <w:t>e</w:t>
      </w:r>
      <w:r w:rsidRPr="002765F4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osobine</w:t>
      </w:r>
      <w:r w:rsidRPr="002765F4">
        <w:rPr>
          <w:rFonts w:ascii="Arial" w:hAnsi="Arial" w:cs="Arial"/>
          <w:noProof/>
        </w:rPr>
        <w:t xml:space="preserve"> kao i čisti kalijev nitrat. </w:t>
      </w:r>
    </w:p>
    <w:p w:rsidR="001673E0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19. Poboljšani bio</w:t>
      </w:r>
      <w:r>
        <w:rPr>
          <w:rFonts w:ascii="Arial" w:hAnsi="Arial" w:cs="Arial"/>
          <w:noProof/>
        </w:rPr>
        <w:t>gas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</w:t>
      </w:r>
      <w:r w:rsidRPr="002765F4">
        <w:rPr>
          <w:rFonts w:ascii="Arial" w:hAnsi="Arial" w:cs="Arial"/>
          <w:noProof/>
        </w:rPr>
        <w:t xml:space="preserve">oboljšani se </w:t>
      </w:r>
      <w:r>
        <w:rPr>
          <w:rFonts w:ascii="Arial" w:hAnsi="Arial" w:cs="Arial"/>
          <w:noProof/>
        </w:rPr>
        <w:t>biogas</w:t>
      </w:r>
      <w:r w:rsidRPr="002765F4">
        <w:rPr>
          <w:rFonts w:ascii="Arial" w:hAnsi="Arial" w:cs="Arial"/>
          <w:noProof/>
        </w:rPr>
        <w:t xml:space="preserve"> može razvrstati u unos 18. Dio 2. Priloga I. ako je prerađen u skladu s važećim normama za pročišćeni i poboljšani bio</w:t>
      </w:r>
      <w:r>
        <w:rPr>
          <w:rFonts w:ascii="Arial" w:hAnsi="Arial" w:cs="Arial"/>
          <w:noProof/>
        </w:rPr>
        <w:t>gas, čime se osigurava kvalitet koji je jednak kvalitetu</w:t>
      </w:r>
      <w:r w:rsidRPr="002765F4">
        <w:rPr>
          <w:rFonts w:ascii="Arial" w:hAnsi="Arial" w:cs="Arial"/>
          <w:noProof/>
        </w:rPr>
        <w:t xml:space="preserve"> prirodnog </w:t>
      </w:r>
      <w:r>
        <w:rPr>
          <w:rFonts w:ascii="Arial" w:hAnsi="Arial" w:cs="Arial"/>
          <w:noProof/>
        </w:rPr>
        <w:t>gasa</w:t>
      </w:r>
      <w:r w:rsidRPr="002765F4">
        <w:rPr>
          <w:rFonts w:ascii="Arial" w:hAnsi="Arial" w:cs="Arial"/>
          <w:noProof/>
        </w:rPr>
        <w:t xml:space="preserve">, uključujući sadržaj metana, i ako sadrži najviše 1 % kisika.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20. Poliklorirani dibenzofurani i poliklorirani dibenzodioksini </w:t>
      </w: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lastRenderedPageBreak/>
        <w:t xml:space="preserve">Količine polikloriranih dibenzofurana i polikloriranih dibenzodioksina </w:t>
      </w:r>
      <w:r>
        <w:rPr>
          <w:rFonts w:ascii="Arial" w:hAnsi="Arial" w:cs="Arial"/>
          <w:noProof/>
        </w:rPr>
        <w:t>proračunavaju</w:t>
      </w:r>
      <w:r w:rsidRPr="002765F4">
        <w:rPr>
          <w:rFonts w:ascii="Arial" w:hAnsi="Arial" w:cs="Arial"/>
          <w:noProof/>
        </w:rPr>
        <w:t xml:space="preserve"> se pomoću sljedećih faktora: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673E0" w:rsidRPr="002765F4" w:rsidTr="00D312D6">
        <w:tc>
          <w:tcPr>
            <w:tcW w:w="9350" w:type="dxa"/>
            <w:gridSpan w:val="4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Faktori ekvivalentne toksičnosti (TEF), Svjetska zdravstvena organizacija, 2005.</w:t>
            </w:r>
          </w:p>
        </w:tc>
      </w:tr>
      <w:tr w:rsidR="001673E0" w:rsidRPr="002765F4" w:rsidTr="00D312D6">
        <w:trPr>
          <w:trHeight w:val="395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2,3,7,8-TCDD</w:t>
            </w: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2,3,7,8-TCDF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0,1</w:t>
            </w:r>
          </w:p>
        </w:tc>
      </w:tr>
      <w:tr w:rsidR="001673E0" w:rsidRPr="002765F4" w:rsidTr="00D312D6">
        <w:trPr>
          <w:trHeight w:val="350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1,2,3,7,8-PeCDD</w:t>
            </w: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2,3,4,7,8-PeCDF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0,3</w:t>
            </w:r>
          </w:p>
        </w:tc>
      </w:tr>
      <w:tr w:rsidR="001673E0" w:rsidRPr="002765F4" w:rsidTr="00D312D6">
        <w:trPr>
          <w:trHeight w:val="350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1,2,3,7,8-PeCDF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0,03</w:t>
            </w:r>
          </w:p>
        </w:tc>
      </w:tr>
      <w:tr w:rsidR="001673E0" w:rsidRPr="002765F4" w:rsidTr="00D312D6">
        <w:trPr>
          <w:trHeight w:val="440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1673E0" w:rsidRPr="002765F4" w:rsidTr="00D312D6">
        <w:trPr>
          <w:trHeight w:val="368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1,2,3,4,7,8-HxCDD</w:t>
            </w: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0,1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1673E0" w:rsidRPr="002765F4" w:rsidTr="00D312D6">
        <w:trPr>
          <w:trHeight w:val="332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1,2,3,6,7,8-HxCDD</w:t>
            </w: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0,1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1,2,3,4,7,8-HxCDF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0,1</w:t>
            </w:r>
          </w:p>
        </w:tc>
      </w:tr>
      <w:tr w:rsidR="001673E0" w:rsidRPr="002765F4" w:rsidTr="00D312D6">
        <w:trPr>
          <w:trHeight w:val="350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1,2,3,7,8,9-HxCDD</w:t>
            </w: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0,1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1,2,3,7,8,9-HxCDF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0,1</w:t>
            </w:r>
          </w:p>
        </w:tc>
      </w:tr>
      <w:tr w:rsidR="001673E0" w:rsidRPr="002765F4" w:rsidTr="00D312D6">
        <w:trPr>
          <w:trHeight w:val="350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</w:pP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1,2,3,6,7,8-HxCDF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0,1</w:t>
            </w:r>
          </w:p>
        </w:tc>
      </w:tr>
      <w:tr w:rsidR="001673E0" w:rsidRPr="002765F4" w:rsidTr="00D312D6">
        <w:trPr>
          <w:trHeight w:val="332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</w:pPr>
            <w:r w:rsidRPr="002765F4">
              <w:rPr>
                <w:rFonts w:ascii="Arial" w:hAnsi="Arial" w:cs="Arial"/>
                <w:noProof/>
              </w:rPr>
              <w:t>1,2,3,4,6,7,8-HpCDD</w:t>
            </w: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0,01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</w:pPr>
            <w:r w:rsidRPr="002765F4">
              <w:rPr>
                <w:rFonts w:ascii="Arial" w:hAnsi="Arial" w:cs="Arial"/>
                <w:noProof/>
              </w:rPr>
              <w:t>2,3,4,6,7,8-HxCDF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0,1</w:t>
            </w:r>
          </w:p>
        </w:tc>
      </w:tr>
      <w:tr w:rsidR="001673E0" w:rsidRPr="002765F4" w:rsidTr="00D312D6">
        <w:trPr>
          <w:trHeight w:val="368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</w:tr>
      <w:tr w:rsidR="001673E0" w:rsidRPr="002765F4" w:rsidTr="00D312D6">
        <w:trPr>
          <w:trHeight w:val="350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OCDD</w:t>
            </w: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1,2,3,4,6,7,8-HpCDF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0,01</w:t>
            </w:r>
          </w:p>
        </w:tc>
      </w:tr>
      <w:tr w:rsidR="001673E0" w:rsidRPr="002765F4" w:rsidTr="00D312D6">
        <w:trPr>
          <w:trHeight w:val="350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1,2,3,4,7,8,9-HpCDF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0,01</w:t>
            </w:r>
          </w:p>
        </w:tc>
      </w:tr>
      <w:tr w:rsidR="001673E0" w:rsidRPr="002765F4" w:rsidTr="00D312D6">
        <w:trPr>
          <w:trHeight w:val="350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1673E0" w:rsidRPr="002765F4" w:rsidTr="00D312D6">
        <w:trPr>
          <w:trHeight w:val="350"/>
        </w:trPr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7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OCDF</w:t>
            </w:r>
          </w:p>
        </w:tc>
        <w:tc>
          <w:tcPr>
            <w:tcW w:w="2338" w:type="dxa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0,0003</w:t>
            </w:r>
          </w:p>
        </w:tc>
      </w:tr>
      <w:tr w:rsidR="001673E0" w:rsidRPr="002765F4" w:rsidTr="00D312D6">
        <w:trPr>
          <w:trHeight w:val="350"/>
        </w:trPr>
        <w:tc>
          <w:tcPr>
            <w:tcW w:w="9350" w:type="dxa"/>
            <w:gridSpan w:val="4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(T = tetra, P = penta, Hx = heksa, Hp = hepta, O = okta)</w:t>
            </w:r>
          </w:p>
        </w:tc>
      </w:tr>
      <w:tr w:rsidR="001673E0" w:rsidRPr="002765F4" w:rsidTr="00D312D6">
        <w:trPr>
          <w:trHeight w:val="350"/>
        </w:trPr>
        <w:tc>
          <w:tcPr>
            <w:tcW w:w="9350" w:type="dxa"/>
            <w:gridSpan w:val="4"/>
          </w:tcPr>
          <w:p w:rsidR="001673E0" w:rsidRPr="002765F4" w:rsidRDefault="001673E0" w:rsidP="00D312D6">
            <w:pPr>
              <w:jc w:val="center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Literatura — Van den Berg et al: The 2005 World Health Organisation Re-evaluation of Human and Mammalian Toxic Equivalency Factors for Dioxins and Dioxin-like Compounds</w:t>
            </w:r>
          </w:p>
        </w:tc>
      </w:tr>
    </w:tbl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</w:p>
    <w:p w:rsidR="001673E0" w:rsidRPr="002765F4" w:rsidRDefault="001673E0" w:rsidP="001673E0">
      <w:pPr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21. U slučajevima kada ova opasna supstanca potpada pod kategoriju P5a Zapaljive </w:t>
      </w:r>
      <w:r>
        <w:rPr>
          <w:rFonts w:ascii="Arial" w:hAnsi="Arial" w:cs="Arial"/>
          <w:noProof/>
        </w:rPr>
        <w:t>tečnosti</w:t>
      </w:r>
      <w:r w:rsidRPr="002765F4">
        <w:rPr>
          <w:rFonts w:ascii="Arial" w:hAnsi="Arial" w:cs="Arial"/>
          <w:noProof/>
        </w:rPr>
        <w:t xml:space="preserve"> ili P5b Zapaljive </w:t>
      </w:r>
      <w:r>
        <w:rPr>
          <w:rFonts w:ascii="Arial" w:hAnsi="Arial" w:cs="Arial"/>
          <w:noProof/>
        </w:rPr>
        <w:t>tečnosti</w:t>
      </w:r>
      <w:r w:rsidRPr="002765F4">
        <w:rPr>
          <w:rFonts w:ascii="Arial" w:hAnsi="Arial" w:cs="Arial"/>
          <w:noProof/>
        </w:rPr>
        <w:t>, primjenjuju se najmanje propisane količine.</w:t>
      </w:r>
    </w:p>
    <w:p w:rsidR="00A167DC" w:rsidRDefault="00A167DC">
      <w:bookmarkStart w:id="0" w:name="_GoBack"/>
      <w:bookmarkEnd w:id="0"/>
    </w:p>
    <w:sectPr w:rsidR="00A1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E0"/>
    <w:rsid w:val="001673E0"/>
    <w:rsid w:val="00214F94"/>
    <w:rsid w:val="009152F5"/>
    <w:rsid w:val="00A167DC"/>
    <w:rsid w:val="00C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920F2-11C6-4638-ADDB-2F218E35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3E0"/>
  </w:style>
  <w:style w:type="paragraph" w:styleId="Heading1">
    <w:name w:val="heading 1"/>
    <w:basedOn w:val="Normal"/>
    <w:next w:val="Normal"/>
    <w:link w:val="Heading1Char"/>
    <w:uiPriority w:val="9"/>
    <w:qFormat/>
    <w:rsid w:val="001673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3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3">
    <w:name w:val="Body Text 3"/>
    <w:basedOn w:val="Normal"/>
    <w:link w:val="BodyText3Char"/>
    <w:rsid w:val="001673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673E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167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73E0"/>
  </w:style>
  <w:style w:type="paragraph" w:styleId="ListParagraph">
    <w:name w:val="List Paragraph"/>
    <w:basedOn w:val="Normal"/>
    <w:uiPriority w:val="34"/>
    <w:qFormat/>
    <w:rsid w:val="001673E0"/>
    <w:pPr>
      <w:ind w:left="720"/>
      <w:contextualSpacing/>
    </w:pPr>
  </w:style>
  <w:style w:type="table" w:styleId="TableGrid">
    <w:name w:val="Table Grid"/>
    <w:basedOn w:val="TableNormal"/>
    <w:uiPriority w:val="39"/>
    <w:rsid w:val="0016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16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a-fusnote">
    <w:name w:val="referenca-fusnote"/>
    <w:basedOn w:val="DefaultParagraphFont"/>
    <w:rsid w:val="001673E0"/>
  </w:style>
  <w:style w:type="character" w:styleId="CommentReference">
    <w:name w:val="annotation reference"/>
    <w:basedOn w:val="DefaultParagraphFont"/>
    <w:uiPriority w:val="99"/>
    <w:semiHidden/>
    <w:unhideWhenUsed/>
    <w:rsid w:val="00167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3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3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73E0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67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73E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673E0"/>
    <w:rPr>
      <w:vertAlign w:val="superscript"/>
    </w:rPr>
  </w:style>
  <w:style w:type="paragraph" w:customStyle="1" w:styleId="t-9-8">
    <w:name w:val="t-9-8"/>
    <w:basedOn w:val="Normal"/>
    <w:rsid w:val="0016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sred">
    <w:name w:val="t-12-9-sred"/>
    <w:basedOn w:val="Normal"/>
    <w:rsid w:val="0016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1673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673E0"/>
  </w:style>
  <w:style w:type="character" w:customStyle="1" w:styleId="st">
    <w:name w:val="st"/>
    <w:basedOn w:val="DefaultParagraphFont"/>
    <w:rsid w:val="001673E0"/>
  </w:style>
  <w:style w:type="character" w:customStyle="1" w:styleId="dolestoje-a">
    <w:name w:val="dolestoje-a"/>
    <w:basedOn w:val="DefaultParagraphFont"/>
    <w:rsid w:val="001673E0"/>
  </w:style>
  <w:style w:type="paragraph" w:styleId="Header">
    <w:name w:val="header"/>
    <w:basedOn w:val="Normal"/>
    <w:link w:val="HeaderChar"/>
    <w:uiPriority w:val="99"/>
    <w:unhideWhenUsed/>
    <w:rsid w:val="00167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3E0"/>
  </w:style>
  <w:style w:type="paragraph" w:styleId="Footer">
    <w:name w:val="footer"/>
    <w:basedOn w:val="Normal"/>
    <w:link w:val="FooterChar"/>
    <w:uiPriority w:val="99"/>
    <w:unhideWhenUsed/>
    <w:rsid w:val="00167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3E0"/>
  </w:style>
  <w:style w:type="character" w:customStyle="1" w:styleId="kurziv">
    <w:name w:val="kurziv"/>
    <w:basedOn w:val="DefaultParagraphFont"/>
    <w:rsid w:val="00167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2850</Words>
  <Characters>16249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2021-08-26T08:16:00Z</dcterms:created>
  <dcterms:modified xsi:type="dcterms:W3CDTF">2021-08-26T08:16:00Z</dcterms:modified>
</cp:coreProperties>
</file>