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7E" w:rsidRPr="005A6D21" w:rsidRDefault="00D9667E" w:rsidP="00D9667E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  <w:t>PRILOG IV.</w:t>
      </w:r>
    </w:p>
    <w:p w:rsidR="00D9667E" w:rsidRPr="005A6D21" w:rsidRDefault="00D9667E" w:rsidP="00D9667E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</w:p>
    <w:p w:rsidR="00D9667E" w:rsidRPr="005A6D21" w:rsidRDefault="00D9667E" w:rsidP="00D9667E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  <w:t>POPIS UREĐAJA ZA PREČIŠĆAVANJE OTPADNIH VODA</w:t>
      </w:r>
    </w:p>
    <w:p w:rsidR="00D9667E" w:rsidRPr="005A6D21" w:rsidRDefault="00D9667E" w:rsidP="00D9667E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 w:themeColor="text1"/>
          <w:sz w:val="22"/>
          <w:szCs w:val="22"/>
          <w:lang w:eastAsia="bs-Latn-BA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7110"/>
      </w:tblGrid>
      <w:tr w:rsidR="00D9667E" w:rsidRPr="005A6D21" w:rsidTr="00990A1E">
        <w:tc>
          <w:tcPr>
            <w:tcW w:w="7110" w:type="dxa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Uređaji za mehaničko prečišćavanje otpadnih voda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Rešetka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Sito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Pjeskolov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Odvajač biljnih i životinjskih ulja i masti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Taložnik-uzdužni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Taložnik-lamelarni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Taložnik-radijalni (akcerator)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Odvajač mineralnih ulja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Flotator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Pješčani filter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Odvajač stajnjaka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Uređaji za hemijsko prečišćavanje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neutralizaciju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hemijsko taloženje, oksidaciju/redukciju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prečišćavanje ionskom izmjenom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Dezinfekcija hlorom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Dezinfekcija ozonom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Dezinfekcija UV zračenjem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Uređaji za biološko prečišćavanje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Laguna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Bio-filter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Bio-disk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aerobnu obradu otpadnih voda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anaerobnu obradu otpadnih voda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obradu mulja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uklanjanje nitrata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Uređaj za uklanjanje fosfata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>Uređaji za toplotnu razmjenu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Prirodna razmjena toplote-bazeni, lagune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Rashladni toranj-prirodna cirkulacija zraka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Rashladni toranj-prisilna cirkulacija zraka</w:t>
            </w:r>
          </w:p>
        </w:tc>
      </w:tr>
      <w:tr w:rsidR="00D9667E" w:rsidRPr="005A6D21" w:rsidTr="00990A1E">
        <w:tc>
          <w:tcPr>
            <w:tcW w:w="7110" w:type="dxa"/>
            <w:vAlign w:val="center"/>
          </w:tcPr>
          <w:p w:rsidR="00D9667E" w:rsidRPr="005A6D21" w:rsidRDefault="00D9667E" w:rsidP="00990A1E">
            <w:pPr>
              <w:textAlignment w:val="baseli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Zatvoreni rashladni toranj</w:t>
            </w:r>
          </w:p>
        </w:tc>
      </w:tr>
    </w:tbl>
    <w:p w:rsidR="00D9667E" w:rsidRPr="005A6D21" w:rsidRDefault="00D9667E" w:rsidP="00D9667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9667E" w:rsidRPr="005A6D21" w:rsidRDefault="00D9667E" w:rsidP="00D9667E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1DBC" w:rsidRDefault="000C1DBC">
      <w:bookmarkStart w:id="0" w:name="_GoBack"/>
      <w:bookmarkEnd w:id="0"/>
    </w:p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7E"/>
    <w:rsid w:val="000C1DBC"/>
    <w:rsid w:val="0057291E"/>
    <w:rsid w:val="008B5491"/>
    <w:rsid w:val="00D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DD30-B28F-4036-B647-5B6C4A7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2023-02-20T08:57:00Z</dcterms:created>
  <dcterms:modified xsi:type="dcterms:W3CDTF">2023-02-20T08:57:00Z</dcterms:modified>
</cp:coreProperties>
</file>