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7A2" w:rsidRPr="002E0E24" w:rsidRDefault="006237A2" w:rsidP="006237A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bookmarkStart w:id="0" w:name="_GoBack"/>
      <w:bookmarkEnd w:id="0"/>
      <w:r w:rsidRPr="002E0E24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II.</w:t>
      </w:r>
    </w:p>
    <w:p w:rsidR="006237A2" w:rsidRPr="002E0E24" w:rsidRDefault="006237A2" w:rsidP="006237A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6237A2" w:rsidRPr="002E0E24" w:rsidRDefault="006237A2" w:rsidP="006237A2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2E0E24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PROJEKTI ZA KOJE FEDERALNO MINISTARSTVO 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U POSTUPKU </w:t>
      </w:r>
      <w:r w:rsidRPr="002E0E24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PRETHODNE PROCJENE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UTICAJA NA OKOLIŠ </w:t>
      </w:r>
      <w:r w:rsidRPr="002E0E24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 ODLUČUJE O 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POTREBI  </w:t>
      </w:r>
      <w:r w:rsidRPr="002E0E24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PROCJENE UTICAJA NA OKOLIŠ 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IZRADOM STUDIJE</w:t>
      </w:r>
    </w:p>
    <w:p w:rsidR="006237A2" w:rsidRPr="002E0E24" w:rsidRDefault="006237A2" w:rsidP="006237A2">
      <w:pPr>
        <w:shd w:val="clear" w:color="auto" w:fill="FFFFFF" w:themeFill="background1"/>
        <w:spacing w:after="0" w:line="24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  <w:lang w:val="sr-Latn-BA"/>
        </w:rPr>
      </w:pPr>
    </w:p>
    <w:tbl>
      <w:tblPr>
        <w:tblStyle w:val="TableGrid1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1. POLJOPRIVREDA, ŠUMARSTVO I AKVAKULTURA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(a) Projekti restrukturiranja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1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poljoprivrednog zemljišta i farmi;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Projekti iskorištavanja neobrađene zemlje ili poluobrađenih područja u intenzivne poljoprivredne svrhe površine 10 ha i veće;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Projekti upravljanja vodom za poljoprivredu, uključujući projek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te navodnjavanja i odvodnje tla,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pri čemu je površi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na navodnjavanja 2.000 ha i veća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, a u slivu Jadranskog mora u području 300 ha i ve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ća;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Početno pošumljavanje u svrhu prenamjene zemljišta površine 50 ha i više i sječa/krčenje šuma radi prenamjene zemljišta na površini većoj od 5 ha;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(e) Projekti intenzivnog</w:t>
            </w:r>
            <w:r w:rsidRPr="002E0E24"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2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uzgoja životinja i to:</w:t>
            </w:r>
          </w:p>
          <w:p w:rsidR="006237A2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- od 20.000 do 85.000 mjesta za piliće i od 15.000 do 60.000 mjesta za kokoške u proizvodnom ciklusu, </w:t>
            </w:r>
          </w:p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od 1000 do 3000 mjesta za svinje (preko 30 kg), </w:t>
            </w:r>
          </w:p>
          <w:p w:rsidR="006237A2" w:rsidRPr="00620D2E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od 500 do 900 mjesta za krmače,</w:t>
            </w:r>
          </w:p>
          <w:p w:rsidR="006237A2" w:rsidRPr="008A5330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A5330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lang w:val="bs-Latn-BA"/>
              </w:rPr>
              <w:t>- 300 mjesta za krupnu stoku i više,</w:t>
            </w:r>
          </w:p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Cs/>
                <w:noProof/>
                <w:color w:val="000000" w:themeColor="text1"/>
                <w:sz w:val="24"/>
                <w:szCs w:val="24"/>
                <w:u w:val="single"/>
                <w:lang w:val="bs-Latn-BA"/>
              </w:rPr>
              <w:t>- 500 mjesta sitnu stoku (ovce, koze) i više,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(f)  Projekti intenzivnog uzgoja ribe u ribnjacima površine 1,5 ha i veće,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12" w:space="0" w:color="auto"/>
            </w:tcBorders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(g) Isušivanje tla za povrat zemlje od mora.</w:t>
            </w:r>
          </w:p>
        </w:tc>
      </w:tr>
      <w:tr w:rsidR="006237A2" w:rsidRPr="002E0E24" w:rsidTr="006F10A2">
        <w:tc>
          <w:tcPr>
            <w:tcW w:w="10060" w:type="dxa"/>
            <w:tcBorders>
              <w:top w:val="single" w:sz="12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ind w:right="-48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2. EKSTRAKTIVNA INDUSTRIJA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(a) Kamenolomi i površinski kopovi površine, te vađenje treseta (projekti koji nisu uključeni u Prilog I. ove uredbe);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(b) Podzemno vađenje ruda;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Dobijanje minerala jaruža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njem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3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rijeka ili mora;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(d) Dubinski kopovi, posebno: </w:t>
            </w:r>
          </w:p>
          <w:p w:rsidR="006237A2" w:rsidRPr="002E0E24" w:rsidRDefault="006237A2" w:rsidP="006F10A2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geotermalni iskopi </w:t>
            </w:r>
          </w:p>
          <w:p w:rsidR="006237A2" w:rsidRPr="002E0E24" w:rsidRDefault="006237A2" w:rsidP="006F10A2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iskopi za skladištenje nuklearnog otpadnog materijala; </w:t>
            </w:r>
          </w:p>
          <w:p w:rsidR="006237A2" w:rsidRPr="002E0E24" w:rsidRDefault="006237A2" w:rsidP="006F10A2">
            <w:pPr>
              <w:numPr>
                <w:ilvl w:val="0"/>
                <w:numId w:val="1"/>
              </w:numPr>
              <w:shd w:val="clear" w:color="auto" w:fill="FFFFFF" w:themeFill="background1"/>
              <w:contextualSpacing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iskopi za snabd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ijevanje  vodom, osim iskopa koji služe istraživanju stabilnosti tla; 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12" w:space="0" w:color="auto"/>
            </w:tcBorders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(e) Površinska industrijska postrojenja za vađenje uglja, nafte, prirodnog gasa i željezne rude, te bituminoznog  škriljevca (projekti koji nisu uključeni u Prilog I. ove uredbe). </w:t>
            </w:r>
          </w:p>
        </w:tc>
      </w:tr>
      <w:tr w:rsidR="006237A2" w:rsidRPr="002E0E24" w:rsidTr="006F10A2">
        <w:trPr>
          <w:trHeight w:val="247"/>
        </w:trPr>
        <w:tc>
          <w:tcPr>
            <w:tcW w:w="10060" w:type="dxa"/>
            <w:tcBorders>
              <w:top w:val="single" w:sz="12" w:space="0" w:color="auto"/>
            </w:tcBorders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3. ENERGETSKA INDUSTRIJA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ind w:left="330" w:hanging="270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 xml:space="preserve"> Industrijska postrojenja za proizvodnju električne energije, vodene pare, tehnološke pare,  tople vode i zagrijanih gasova uključujući i parne kotlove uz korištenje svih vrsta goriva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4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snage veće od 10 MW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  <w:t>th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,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strike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(b) Industrijska postrojenja za prenos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gasa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, pare i tople vode; prenos električne energije nadzemnim vodovima napona 110 kV i više koji su u sklopu prijenosne mreže i dužine 15 km i više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Površinsko skladištenje prirodnog gasa  kapaciteta 10.000 m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 više.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Podzemno skladištenje zapaljivih gasova kapacit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e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ta 10.000 m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 više.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(e) Površinsko skladištenje fosilnih goriva kapaciteta 10.000 m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perscript"/>
                <w:lang w:val="bs-Latn-BA"/>
              </w:rPr>
              <w:t>3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 više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(f) Industrijsko briketiranje uglja i lignita;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(g) Postrojenja za preradu i skladištenje radioaktivnog otpada (osim onih uključenih u Prilog I. ove uredbe);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961ED9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961E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(h) Postrojenja koja koriste snagu vjetra za proizvodnju električne energije sa više od 4 vjetroagregata; 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12" w:space="0" w:color="auto"/>
            </w:tcBorders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(i) Postrojenja za hvatanje tokova CO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vertAlign w:val="subscript"/>
                <w:lang w:val="bs-Latn-BA"/>
              </w:rPr>
              <w:t>2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radi geološkog skladištenja iz postrojenja koja nisu obuhvaćena Prilogom I. ove Uredbe.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12" w:space="0" w:color="auto"/>
            </w:tcBorders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(j) Proizvodnja biogoriva kapaciteta 20.000 t/godišnje i više.</w:t>
            </w:r>
          </w:p>
        </w:tc>
      </w:tr>
      <w:tr w:rsidR="006237A2" w:rsidRPr="002E0E24" w:rsidTr="006F10A2">
        <w:tc>
          <w:tcPr>
            <w:tcW w:w="10060" w:type="dxa"/>
            <w:tcBorders>
              <w:top w:val="single" w:sz="12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4. PROIZVODNJA I PRERADA METALA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(a) Postrojenja za proizvodnju sirovog željeza ili čelika (primarna ili sekundarna fuzija) uključujući kontinuirano lijevanje;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(b) Postrojenja za preradu neobojenih metala: </w:t>
            </w:r>
          </w:p>
          <w:p w:rsidR="006237A2" w:rsidRPr="002E0E24" w:rsidRDefault="006237A2" w:rsidP="006F10A2">
            <w:pPr>
              <w:numPr>
                <w:ilvl w:val="0"/>
                <w:numId w:val="2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valjaonice; </w:t>
            </w:r>
          </w:p>
          <w:p w:rsidR="006237A2" w:rsidRPr="002E0E24" w:rsidRDefault="006237A2" w:rsidP="006F10A2">
            <w:pPr>
              <w:numPr>
                <w:ilvl w:val="0"/>
                <w:numId w:val="2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kovačnice sa čekićima; </w:t>
            </w:r>
          </w:p>
          <w:p w:rsidR="006237A2" w:rsidRPr="002E0E24" w:rsidRDefault="006237A2" w:rsidP="006F10A2">
            <w:pPr>
              <w:numPr>
                <w:ilvl w:val="0"/>
                <w:numId w:val="2"/>
              </w:numPr>
              <w:shd w:val="clear" w:color="auto" w:fill="FFFFFF" w:themeFill="background1"/>
              <w:contextualSpacing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primjena zaštitnih navlaka od fuzioniranog metala;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(c) Ljevaonice neobojenih metala;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(d) Postrojenja za topljenje, uključujući i legiranje, obojenih metala, osim plemenitih metala, uključujući proizvode dobivene revitalizacijom (rafiniranje, lijevanje u ljevaonicama itd.);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(e) Postrojenja za površinsku obradu metala i plastičnih materijala elektrolitičkim ili hemijskim postupkom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(f) Proizvodnja i sastavljanje cestovnih motornih vozila i proizvodnja motora za putna motorna vozila;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(g) Brodogradilišta;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(h) Postrojenja za izgradnju i popravak aviona;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(i) Proizvodnja željezničke opreme;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(j) Lijevanje metala i postrojenja za oblikovanje metala eksplozivom; 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12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(k) Postrojenja za pečenje i pročišćavanje metalne željezne  rude. </w:t>
            </w:r>
          </w:p>
        </w:tc>
      </w:tr>
      <w:tr w:rsidR="006237A2" w:rsidRPr="002E0E24" w:rsidTr="006F10A2">
        <w:tc>
          <w:tcPr>
            <w:tcW w:w="10060" w:type="dxa"/>
            <w:tcBorders>
              <w:top w:val="single" w:sz="12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5. MINERALNA INDUSTRIJA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(a) Koksare (destiliranje suhog uglja);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Postrojenja za proizvodnju cementa, cementnog klinkera i kreča (vapna)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Postrojenja za proizvodnju azbesta i azbestnih proizvoda (projekti koji nisu uključeni u Prilog I. ove uredbe);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Postrojenja za proizvodnju stakla, uključujući i staklena vlakna;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 xml:space="preserve">(e) Postrojenja za topljenje mineralnih materija, uključujući i </w:t>
            </w:r>
            <w:r w:rsidRPr="00961E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proizvodnju prirodnih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mineralnih vlakana;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(f) Proizvodnja keramičkih proizvoda pečenjem, posebno krovnih crijepova, cigle, vatrostalne cigle, keramičkih pločica, kamenog ocakljenog posuđa i porculana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 xml:space="preserve">6. HEMIJSKA INDUSTRIJA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4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Obrada hemi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jskih poluproizvoda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5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godišnjeg kapaciteta 10.000 t i više;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ind w:left="420" w:hanging="42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Proizvodnja boja i lakova, gume i peroksida   </w:t>
            </w:r>
          </w:p>
        </w:tc>
      </w:tr>
      <w:tr w:rsidR="006237A2" w:rsidRPr="002E0E24" w:rsidTr="006F10A2">
        <w:tc>
          <w:tcPr>
            <w:tcW w:w="10060" w:type="dxa"/>
            <w:tcBorders>
              <w:bottom w:val="single" w:sz="4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Objekti za skladištenje nafte, petrohemijskih i hemijskih proizvoda skladišnog kapaciteta od 10.000 t do 200.000 t.</w:t>
            </w:r>
          </w:p>
        </w:tc>
      </w:tr>
      <w:tr w:rsidR="006237A2" w:rsidRPr="002E0E24" w:rsidTr="006F10A2">
        <w:tc>
          <w:tcPr>
            <w:tcW w:w="10060" w:type="dxa"/>
            <w:tcBorders>
              <w:top w:val="single" w:sz="4" w:space="0" w:color="auto"/>
            </w:tcBorders>
            <w:vAlign w:val="center"/>
          </w:tcPr>
          <w:p w:rsidR="006237A2" w:rsidRPr="007310D7" w:rsidRDefault="006237A2" w:rsidP="006F10A2">
            <w:pPr>
              <w:shd w:val="clear" w:color="auto" w:fill="FFFFFF" w:themeFill="background1"/>
              <w:rPr>
                <w:rFonts w:ascii="Arial" w:hAnsi="Arial" w:cs="Arial"/>
                <w:i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7310D7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d)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Ostali projekti hemijske industrije koji nisu navedeni u Prilogu I. Uredbe.</w:t>
            </w:r>
          </w:p>
        </w:tc>
      </w:tr>
      <w:tr w:rsidR="006237A2" w:rsidRPr="002E0E24" w:rsidTr="006F10A2">
        <w:tc>
          <w:tcPr>
            <w:tcW w:w="10060" w:type="dxa"/>
            <w:tcBorders>
              <w:top w:val="single" w:sz="12" w:space="0" w:color="auto"/>
            </w:tcBorders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7. PREHRAMBENA INDUSTRIJA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(a) Proizvodnja biljnih i životinjskih ulja i masti dnevnog kapaciteta 10 t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Proizvodnja, pak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ova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nje i konzerviranje proizvoda biljnog i životinjskog porijekla dnevnog kapaciteta 10 t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Proizvodnja mliječnih proizvoda godišnjeg kapaciteta 10.000 t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Varenje piva vrenjem slada godišnjeg kapaciteta 250.000 hl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(e) Proizvodnja alkoholnih pića, bezalkoholnih pića i sirćeta dnevnog kapaciteta 10.000 l i više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(f) Proizvodnja slatkiša i sirupa godišnjeg kapaciteta 5.000 t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(g) Klaonice godišnjim kapaciteta 10.000 t i više.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(h) Proizvodnja ili rafinisanje šećera ili proizvodnja  industrijskog škroba godišnjeg kapaciteta 10.000 t i više;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(i) Tvornice ribljeg brašna i ribljeg ulja;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(j) Postrojenje za preradu ribe dnevnog kapaciteta 1 t i više;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8. TEKSTILNA, KOŽNA, DRVNA I PAPIRNA INDUSTRIJA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(a) Industrijska postrojenja za proizvodnju papira i kartona (projekti koji nisu uključeni u Prilog I. ove uredbe);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Postrojenja za predobradu (npr. pranje, izbjeljivanje ili merceriziranje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6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) ili bojenje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tekstilnih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vlakana ili tkanina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dnevnog kapaciteta 10 t i više;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Postrojenja za preradu pulpe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iz drveta (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celuloze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)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.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Industrija tekstila i kože dnevnog kapaciteta 10 t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i više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9. INDUSTRIJA GUME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Proizvodnja i obrada proizvoda na bazi gume i prerade kaučuka.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10. INFRASTRUKTURNI PROJEKTI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(a) Izgradnja industrijskih kompleksa površine 5 ha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Projekti urbanog razvoja uključujući izgradnju trgovačkih, poslovnih i prodajnih centara ukupne površina je 6 ha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Nadzemna ili podzemna parkirališta za automobile sa 1000 mjesta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Stadioni i rekreacijski centri sa pratećim objektima 25.000 posjetilaca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(e) Izgradnja željeznica (osim gradskih i prigradskih) i intermodalnih</w:t>
            </w:r>
            <w:r w:rsidRPr="002E0E24"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7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/željezničkih objekata za i intermodalnih/željezničkih terminala za kombinovani utovar i istovar (projekti koji nisu uključeni u Prilog I. ove uredbe);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(f) Izgradnja aerodroma (projekti koji nisu uključeni u Prilog I. ove uredbe);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(g)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Izgradnja magistralnih i regionalnih cesta dužine 10 km i više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tabs>
                <w:tab w:val="left" w:pos="284"/>
              </w:tabs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(h)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Izgradnja luka i lučkih postrojenja, uključujući i ribarske luke s više od 100 vezova; 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(i) Izgradnja unutrašnjih plovnih puteva koji nisu uključeni u Prilog I. i izgradnja kanala i objekata za odbranu od poplava;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(j) Brane i ostala postrojenja za zadržavanje ili dugoročno skladištenje/akumuliranje vode (projekti koji nisu uključeni u Prilog I. ove Uredbe)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(k) Tramvajske pruge, nadzemne i podzemne željeznice, viseće ili slične linije posebne vrste koje se isključivo ili uglavnom koriste za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gradski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prijevoz putnika dužine 15 km i više;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(l) Cjevovodi za prenos plina, nafte, hemikalija prečnika od 200 mm do 800 mm i dužine 20 km do 40 km;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(m)  Gradnja dugih vodovoda (akvadukta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8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);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(n) Radovi u obalnom području za suzbijanje erozije i pomorski objekti koji mogu izmijeniti izgled obale, na primjer gatovi, molovi, lukobrani i ostali slični objekti za obranu od mora, isključujući aktivnosti na održavanju i rekonstrukciji takvih objekata;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(o) Vađenje podzemne vode ili sistem vještačkog ubrizgavanja/dopunjavanja  podzemne vode koji nisu uključeni u Prilog I. ove uredbe;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(p) Radovi/objekti za prebacivanje vodnih resursa iz jednog u drugi riječni sliv (projekti koji nisu uključeni u Prilog I. ove uredbe).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11. OSTALI PROJEKTI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(a) Trajne trkačke staze i staze za testne trke za motorna vozila na području 10 ha i više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(b) Prečistači otpadnih voda (projekti koji nisu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uključeni u Prilog I.ove uredbe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);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Postrojenja za testiranje mašina, turbina ili reaktora sa 20 testnih mjesta i više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(d) Postrojenja za </w:t>
            </w:r>
            <w:r w:rsidRPr="00961ED9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proizvodnju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vještačkih mineralnih vlakana;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(e) Postrojenja za reciklažu, revitalizaciju i  uništavanje eksplozivnih supstanci; 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(f) Projekti upravljanja otpadom: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odlagališta/lokacije za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trajno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odlaganje mulja kapaciteta 10.000 t i više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skladištenje željeznog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otpada uključujući stara vozila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sa godišnjim kapacitetom 10.000 t i više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stovarišta/skladišta opasnog otpada dnevnog kapaciteta 10 t i više i neopasnog otpada dnevnog kapaciteta 50 t i više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postrojenja za zbrinjavanje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9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opasnog otpada nekim od postupaka za tretman</w:t>
            </w:r>
            <w:r w:rsidRPr="002E0E24"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10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opasnog otpada (projekti koji nisu uključeni u Prilog I ove uredbe)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;</w:t>
            </w:r>
          </w:p>
          <w:p w:rsidR="006237A2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postrojenja za spaljivanje neopasnog otpada dnevnog kapaciteta 10 t do 100 t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postrojenja u kojima se vrši hemijska obrada neopasnog otpada dnevnog kapaciteta 10 t do 100 t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trajno odlaganje neopasnog otpada dnevnog kapaciteta 10 t do 100 t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 xml:space="preserve">- postrojenja za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trajno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odlaganje, preradu ili uništavanje životinjskih leševa ili otpadaka životinjskog porijek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l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ind w:left="150" w:hanging="150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- postrojenja za suspaljivanje otpada.</w:t>
            </w:r>
          </w:p>
        </w:tc>
      </w:tr>
      <w:tr w:rsidR="006237A2" w:rsidRPr="002E0E24" w:rsidTr="006F10A2">
        <w:tc>
          <w:tcPr>
            <w:tcW w:w="10060" w:type="dxa"/>
            <w:vAlign w:val="center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12. TURIZAM I RAZONODA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(a) Skijaške staze, skijaški liftovi, žičare i srodni razvojni projekti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izvan urbanih područja </w:t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površine 5 ha i veće;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(b) Marine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11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; 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(c) Turistička naselja i hotelski kompleksi izvan urbanih sredina i srodni razvojni projekti površine 5 ha i više;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(d) Stalni kampovi i tereni za smještaj kamp-kućica površine 5 ha i više;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(e) Tematski parkovi</w:t>
            </w:r>
            <w:r>
              <w:rPr>
                <w:rStyle w:val="FootnoteReference"/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footnoteReference w:id="12"/>
            </w:r>
            <w:r w:rsidRPr="002E0E24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površine 5 ha i veće;</w:t>
            </w:r>
          </w:p>
        </w:tc>
      </w:tr>
      <w:tr w:rsidR="006237A2" w:rsidRPr="002E0E24" w:rsidTr="006F10A2">
        <w:tc>
          <w:tcPr>
            <w:tcW w:w="10060" w:type="dxa"/>
          </w:tcPr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 xml:space="preserve">13. </w:t>
            </w:r>
          </w:p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(a) Svaka izmjena ili proširenje projekta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iz 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Prilog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a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Uredbe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ili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ovog Priloga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I.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koji je već odobren, izvršen ili u postupku izvršenja,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kao i za projekat kada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ta izmjena/proširenje prelazi neki od pragova navedenih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u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Prilog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u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I.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Uredbe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ili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ovom Prilogu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I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I.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;</w:t>
            </w:r>
          </w:p>
          <w:p w:rsidR="006237A2" w:rsidRPr="002E0E24" w:rsidRDefault="006237A2" w:rsidP="006F10A2">
            <w:pPr>
              <w:shd w:val="clear" w:color="auto" w:fill="FFFFFF" w:themeFill="background1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</w:pP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(b) Projekti iz Priloga I. 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U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redbe, namijenjeni isključivo ili uglavnom razvoju ili ispitivanju novih meto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>da ili proizvoda</w:t>
            </w:r>
            <w:r w:rsidRPr="002E0E24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bs-Latn-BA"/>
              </w:rPr>
              <w:t xml:space="preserve"> koji se ne koriste duže od dvije godine.</w:t>
            </w:r>
          </w:p>
        </w:tc>
      </w:tr>
    </w:tbl>
    <w:p w:rsidR="006237A2" w:rsidRPr="002E0E24" w:rsidRDefault="006237A2" w:rsidP="006237A2">
      <w:pPr>
        <w:shd w:val="clear" w:color="auto" w:fill="FFFFFF" w:themeFill="background1"/>
        <w:spacing w:after="0" w:line="240" w:lineRule="auto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p w:rsidR="002D7419" w:rsidRDefault="002D7419"/>
    <w:sectPr w:rsidR="002D74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3D6" w:rsidRDefault="001833D6" w:rsidP="006237A2">
      <w:pPr>
        <w:spacing w:after="0" w:line="240" w:lineRule="auto"/>
      </w:pPr>
      <w:r>
        <w:separator/>
      </w:r>
    </w:p>
  </w:endnote>
  <w:endnote w:type="continuationSeparator" w:id="0">
    <w:p w:rsidR="001833D6" w:rsidRDefault="001833D6" w:rsidP="00623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3D6" w:rsidRDefault="001833D6" w:rsidP="006237A2">
      <w:pPr>
        <w:spacing w:after="0" w:line="240" w:lineRule="auto"/>
      </w:pPr>
      <w:r>
        <w:separator/>
      </w:r>
    </w:p>
  </w:footnote>
  <w:footnote w:type="continuationSeparator" w:id="0">
    <w:p w:rsidR="001833D6" w:rsidRDefault="001833D6" w:rsidP="006237A2">
      <w:pPr>
        <w:spacing w:after="0" w:line="240" w:lineRule="auto"/>
      </w:pPr>
      <w:r>
        <w:continuationSeparator/>
      </w:r>
    </w:p>
  </w:footnote>
  <w:footnote w:id="1">
    <w:p w:rsidR="006237A2" w:rsidRPr="008A5330" w:rsidRDefault="006237A2" w:rsidP="006237A2">
      <w:pPr>
        <w:pStyle w:val="FootnoteText"/>
        <w:rPr>
          <w:rFonts w:ascii="Arial" w:hAnsi="Arial" w:cs="Arial"/>
          <w:color w:val="33333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</w:t>
      </w:r>
      <w:r w:rsidRPr="00822458">
        <w:rPr>
          <w:rFonts w:ascii="Arial" w:hAnsi="Arial" w:cs="Arial"/>
          <w:color w:val="333333"/>
          <w:sz w:val="18"/>
          <w:szCs w:val="18"/>
        </w:rPr>
        <w:t>tvaranje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preduslova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za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primjenu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savremenih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metoda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obrade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poljoprivrednog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zemljišta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izgradnj</w:t>
      </w:r>
      <w:r>
        <w:rPr>
          <w:rFonts w:ascii="Arial" w:hAnsi="Arial" w:cs="Arial"/>
          <w:color w:val="333333"/>
          <w:sz w:val="18"/>
          <w:szCs w:val="18"/>
        </w:rPr>
        <w:t>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jačanj</w:t>
      </w:r>
      <w:r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infrastrukture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kao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što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r>
        <w:rPr>
          <w:rFonts w:ascii="Arial" w:hAnsi="Arial" w:cs="Arial"/>
          <w:color w:val="333333"/>
          <w:sz w:val="18"/>
          <w:szCs w:val="18"/>
        </w:rPr>
        <w:t xml:space="preserve">je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izgradnja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poljski</w:t>
      </w:r>
      <w:r>
        <w:rPr>
          <w:rFonts w:ascii="Arial" w:hAnsi="Arial" w:cs="Arial"/>
          <w:color w:val="333333"/>
          <w:sz w:val="18"/>
          <w:szCs w:val="18"/>
        </w:rPr>
        <w:t>h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puteva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kanala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),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omogućavanje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veće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produktivnosti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podizanje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konkurent</w:t>
      </w:r>
      <w:r>
        <w:rPr>
          <w:rFonts w:ascii="Arial" w:hAnsi="Arial" w:cs="Arial"/>
          <w:color w:val="333333"/>
          <w:sz w:val="18"/>
          <w:szCs w:val="18"/>
        </w:rPr>
        <w:t>nosti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ponude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poljoprivrednih</w:t>
      </w:r>
      <w:proofErr w:type="spellEnd"/>
      <w:r w:rsidRPr="00822458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822458">
        <w:rPr>
          <w:rFonts w:ascii="Arial" w:hAnsi="Arial" w:cs="Arial"/>
          <w:color w:val="333333"/>
          <w:sz w:val="18"/>
          <w:szCs w:val="18"/>
        </w:rPr>
        <w:t>proizvoda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2">
    <w:p w:rsidR="006237A2" w:rsidRPr="00AB44BB" w:rsidRDefault="006237A2" w:rsidP="006237A2">
      <w:pPr>
        <w:pStyle w:val="FootnoteText"/>
        <w:rPr>
          <w:rFonts w:ascii="Arial" w:hAnsi="Arial" w:cs="Arial"/>
          <w:lang w:val="bs-Latn-BA"/>
        </w:rPr>
      </w:pPr>
      <w:r w:rsidRPr="00AB44BB">
        <w:rPr>
          <w:rStyle w:val="FootnoteReference"/>
          <w:rFonts w:ascii="Arial" w:hAnsi="Arial" w:cs="Arial"/>
        </w:rPr>
        <w:footnoteRef/>
      </w:r>
      <w:r w:rsidRPr="00AB44B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s</w:t>
      </w:r>
      <w:r w:rsidRPr="002E0E24">
        <w:rPr>
          <w:rFonts w:ascii="Arial" w:hAnsi="Arial" w:cs="Arial"/>
          <w:color w:val="333333"/>
          <w:sz w:val="18"/>
          <w:szCs w:val="18"/>
        </w:rPr>
        <w:t>pecijaliziran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sistem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uzgoja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životinja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kojem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stoka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drži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zatvorenom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prostoru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hrani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koncentratima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čestu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upotrebu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lijekova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za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suzbijanje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bolesti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koje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su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stalan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rizik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takvim</w:t>
      </w:r>
      <w:proofErr w:type="spellEnd"/>
      <w:r w:rsidRPr="002E0E24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E0E24">
        <w:rPr>
          <w:rFonts w:ascii="Arial" w:hAnsi="Arial" w:cs="Arial"/>
          <w:color w:val="333333"/>
          <w:sz w:val="18"/>
          <w:szCs w:val="18"/>
        </w:rPr>
        <w:t>uslovima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3">
    <w:p w:rsidR="006237A2" w:rsidRPr="0040501F" w:rsidRDefault="006237A2" w:rsidP="006237A2">
      <w:pPr>
        <w:pStyle w:val="FootnoteText"/>
        <w:rPr>
          <w:lang w:val="bs-Latn-BA"/>
        </w:rPr>
      </w:pPr>
      <w:r w:rsidRPr="0040501F">
        <w:rPr>
          <w:rFonts w:ascii="Arial" w:hAnsi="Arial" w:cs="Arial"/>
          <w:color w:val="333333"/>
          <w:sz w:val="18"/>
          <w:szCs w:val="18"/>
        </w:rPr>
        <w:footnoteRef/>
      </w:r>
      <w:r w:rsidRPr="0040501F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jaruža</w:t>
      </w:r>
      <w:r w:rsidRPr="0040501F">
        <w:rPr>
          <w:rFonts w:ascii="Arial" w:hAnsi="Arial" w:cs="Arial"/>
          <w:color w:val="333333"/>
          <w:sz w:val="18"/>
          <w:szCs w:val="18"/>
        </w:rPr>
        <w:t>nje</w:t>
      </w:r>
      <w:proofErr w:type="spellEnd"/>
      <w:r w:rsidRPr="0040501F">
        <w:rPr>
          <w:rFonts w:ascii="Arial" w:hAnsi="Arial" w:cs="Arial"/>
          <w:color w:val="333333"/>
          <w:sz w:val="18"/>
          <w:szCs w:val="18"/>
        </w:rPr>
        <w:t xml:space="preserve"> je </w:t>
      </w:r>
      <w:proofErr w:type="spellStart"/>
      <w:r w:rsidRPr="0040501F">
        <w:rPr>
          <w:rFonts w:ascii="Arial" w:hAnsi="Arial" w:cs="Arial"/>
          <w:color w:val="333333"/>
          <w:sz w:val="18"/>
          <w:szCs w:val="18"/>
        </w:rPr>
        <w:t>naziv</w:t>
      </w:r>
      <w:proofErr w:type="spellEnd"/>
      <w:r w:rsidRPr="0040501F">
        <w:rPr>
          <w:rFonts w:ascii="Arial" w:hAnsi="Arial" w:cs="Arial"/>
          <w:color w:val="333333"/>
          <w:sz w:val="18"/>
          <w:szCs w:val="18"/>
        </w:rPr>
        <w:t xml:space="preserve"> za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vađenje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nataloženog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pijeska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šljunka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i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mulja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sa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dna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neke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rijeke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jezera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plićeg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morskog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zaljeva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pomoću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posebnih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fldChar w:fldCharType="begin"/>
      </w:r>
      <w:r w:rsidRPr="00281A9C">
        <w:rPr>
          <w:rFonts w:ascii="Arial" w:hAnsi="Arial" w:cs="Arial"/>
          <w:color w:val="333333"/>
          <w:sz w:val="18"/>
          <w:szCs w:val="18"/>
        </w:rPr>
        <w:instrText xml:space="preserve"> HYPERLINK "https://hr.wikipedia.org/wiki/Bager" \o "Bager" </w:instrText>
      </w:r>
      <w:r w:rsidRPr="00281A9C">
        <w:rPr>
          <w:rFonts w:ascii="Arial" w:hAnsi="Arial" w:cs="Arial"/>
          <w:color w:val="333333"/>
          <w:sz w:val="18"/>
          <w:szCs w:val="18"/>
        </w:rPr>
        <w:fldChar w:fldCharType="separate"/>
      </w:r>
      <w:r w:rsidRPr="00281A9C">
        <w:rPr>
          <w:rFonts w:ascii="Arial" w:hAnsi="Arial" w:cs="Arial"/>
          <w:color w:val="333333"/>
          <w:sz w:val="18"/>
          <w:szCs w:val="18"/>
        </w:rPr>
        <w:t>bagera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fldChar w:fldCharType="end"/>
      </w:r>
      <w:r w:rsidRPr="00281A9C">
        <w:rPr>
          <w:rFonts w:ascii="Arial" w:hAnsi="Arial" w:cs="Arial"/>
          <w:color w:val="333333"/>
          <w:sz w:val="18"/>
          <w:szCs w:val="18"/>
        </w:rPr>
        <w:t> – 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jaružala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cilju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produbljenje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korita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vodotoka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>/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morskog</w:t>
      </w:r>
      <w:proofErr w:type="spellEnd"/>
      <w:r w:rsidRPr="00281A9C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281A9C">
        <w:rPr>
          <w:rFonts w:ascii="Arial" w:hAnsi="Arial" w:cs="Arial"/>
          <w:color w:val="333333"/>
          <w:sz w:val="18"/>
          <w:szCs w:val="18"/>
        </w:rPr>
        <w:t>dna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4">
    <w:p w:rsidR="006237A2" w:rsidRPr="009945EA" w:rsidRDefault="006237A2" w:rsidP="006237A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m</w:t>
      </w:r>
      <w:r w:rsidRPr="009945EA">
        <w:rPr>
          <w:rFonts w:ascii="Arial" w:hAnsi="Arial" w:cs="Arial"/>
          <w:color w:val="333333"/>
          <w:sz w:val="18"/>
          <w:szCs w:val="18"/>
        </w:rPr>
        <w:t>aterij</w:t>
      </w:r>
      <w:r>
        <w:rPr>
          <w:rFonts w:ascii="Arial" w:hAnsi="Arial" w:cs="Arial"/>
          <w:color w:val="333333"/>
          <w:sz w:val="18"/>
          <w:szCs w:val="18"/>
        </w:rPr>
        <w:t>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koja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prilikom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sagorijevanja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oksidacije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razvijaju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velike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količine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toplotne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energije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koja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iskorištava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različite</w:t>
      </w:r>
      <w:proofErr w:type="spellEnd"/>
      <w:r w:rsidRPr="009945E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9945EA">
        <w:rPr>
          <w:rFonts w:ascii="Arial" w:hAnsi="Arial" w:cs="Arial"/>
          <w:color w:val="333333"/>
          <w:sz w:val="18"/>
          <w:szCs w:val="18"/>
        </w:rPr>
        <w:t>svrhe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5">
    <w:p w:rsidR="006237A2" w:rsidRDefault="006237A2" w:rsidP="006237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proizvod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koji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rezultat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proizvodnoga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procesa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ali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taj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proizvod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56724B">
        <w:rPr>
          <w:rFonts w:ascii="Arial" w:hAnsi="Arial" w:cs="Arial"/>
          <w:color w:val="333333"/>
          <w:sz w:val="18"/>
          <w:szCs w:val="18"/>
        </w:rPr>
        <w:t xml:space="preserve">mora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podvrgnuti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daljnjoj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preradi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kako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bi bio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pogodan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za </w:t>
      </w:r>
      <w:proofErr w:type="spellStart"/>
      <w:r w:rsidRPr="0056724B">
        <w:rPr>
          <w:rFonts w:ascii="Arial" w:hAnsi="Arial" w:cs="Arial"/>
          <w:color w:val="333333"/>
          <w:sz w:val="18"/>
          <w:szCs w:val="18"/>
        </w:rPr>
        <w:t>finalnu</w:t>
      </w:r>
      <w:proofErr w:type="spellEnd"/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upotrebu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  <w:r w:rsidRPr="0056724B">
        <w:rPr>
          <w:rFonts w:ascii="Arial" w:hAnsi="Arial" w:cs="Arial"/>
          <w:color w:val="333333"/>
          <w:sz w:val="18"/>
          <w:szCs w:val="18"/>
        </w:rPr>
        <w:t xml:space="preserve"> </w:t>
      </w:r>
      <w:r w:rsidRPr="005331DB">
        <w:rPr>
          <w:rFonts w:ascii="Arial" w:hAnsi="Arial" w:cs="Arial"/>
          <w:color w:val="333333"/>
          <w:sz w:val="18"/>
          <w:szCs w:val="18"/>
        </w:rPr>
        <w:t xml:space="preserve">od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finalnog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proizvoda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razlikuje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po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tome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što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njegov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stepen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obrade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takav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da se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može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uskladištiti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drž</w:t>
      </w:r>
      <w:r>
        <w:rPr>
          <w:rFonts w:ascii="Arial" w:hAnsi="Arial" w:cs="Arial"/>
          <w:color w:val="333333"/>
          <w:sz w:val="18"/>
          <w:szCs w:val="18"/>
        </w:rPr>
        <w:t>ati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kao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zaliha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dati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dorad</w:t>
      </w:r>
      <w:r w:rsidRPr="005331DB">
        <w:rPr>
          <w:rFonts w:ascii="Arial" w:hAnsi="Arial" w:cs="Arial"/>
          <w:color w:val="333333"/>
          <w:sz w:val="18"/>
          <w:szCs w:val="18"/>
        </w:rPr>
        <w:t>u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drugim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proizvodnim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pogonima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5331DB">
        <w:rPr>
          <w:rFonts w:ascii="Arial" w:hAnsi="Arial" w:cs="Arial"/>
          <w:color w:val="333333"/>
          <w:sz w:val="18"/>
          <w:szCs w:val="18"/>
        </w:rPr>
        <w:t>poduzećima</w:t>
      </w:r>
      <w:proofErr w:type="spellEnd"/>
      <w:r w:rsidRPr="005331DB">
        <w:rPr>
          <w:rFonts w:ascii="Arial" w:hAnsi="Arial" w:cs="Arial"/>
          <w:color w:val="333333"/>
          <w:sz w:val="18"/>
          <w:szCs w:val="18"/>
        </w:rPr>
        <w:t>;</w:t>
      </w:r>
    </w:p>
  </w:footnote>
  <w:footnote w:id="6">
    <w:p w:rsidR="006237A2" w:rsidRPr="00A703BD" w:rsidRDefault="006237A2" w:rsidP="006237A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p</w:t>
      </w:r>
      <w:r w:rsidRPr="00A703BD">
        <w:rPr>
          <w:rFonts w:ascii="Arial" w:hAnsi="Arial" w:cs="Arial"/>
          <w:color w:val="333333"/>
          <w:sz w:val="18"/>
          <w:szCs w:val="18"/>
        </w:rPr>
        <w:t>ostupak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oplemenjivanja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pamučnih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tkanina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pletiva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konaca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namakanjem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najčešće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koncentriranoj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natrijevoj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bazi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dr.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uz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isto</w:t>
      </w:r>
      <w:r>
        <w:rPr>
          <w:rFonts w:ascii="Arial" w:hAnsi="Arial" w:cs="Arial"/>
          <w:color w:val="333333"/>
          <w:sz w:val="18"/>
          <w:szCs w:val="18"/>
        </w:rPr>
        <w:t>vremeno</w:t>
      </w:r>
      <w:proofErr w:type="spellEnd"/>
      <w:r w:rsidRPr="00A703BD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A703BD">
        <w:rPr>
          <w:rFonts w:ascii="Arial" w:hAnsi="Arial" w:cs="Arial"/>
          <w:color w:val="333333"/>
          <w:sz w:val="18"/>
          <w:szCs w:val="18"/>
        </w:rPr>
        <w:t>istezanje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tkanine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7">
    <w:p w:rsidR="006237A2" w:rsidRDefault="006237A2" w:rsidP="006237A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robno-transportni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objekti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</w:p>
  </w:footnote>
  <w:footnote w:id="8">
    <w:p w:rsidR="006237A2" w:rsidRPr="00B151BA" w:rsidRDefault="006237A2" w:rsidP="006237A2">
      <w:pPr>
        <w:pStyle w:val="FootnoteText"/>
        <w:rPr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veštački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kanal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čija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je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osnovna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uloga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prenos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vode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sa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B151BA">
        <w:rPr>
          <w:rFonts w:ascii="Arial" w:hAnsi="Arial" w:cs="Arial"/>
          <w:color w:val="333333"/>
          <w:sz w:val="18"/>
          <w:szCs w:val="18"/>
        </w:rPr>
        <w:t>jedn</w:t>
      </w:r>
      <w:r>
        <w:rPr>
          <w:rFonts w:ascii="Arial" w:hAnsi="Arial" w:cs="Arial"/>
          <w:color w:val="333333"/>
          <w:sz w:val="18"/>
          <w:szCs w:val="18"/>
        </w:rPr>
        <w:t>e</w:t>
      </w:r>
      <w:proofErr w:type="spellEnd"/>
      <w:r w:rsidRPr="00B151BA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lokacije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333333"/>
          <w:sz w:val="18"/>
          <w:szCs w:val="18"/>
        </w:rPr>
        <w:t>drugu</w:t>
      </w:r>
      <w:proofErr w:type="spellEnd"/>
      <w:r>
        <w:rPr>
          <w:rFonts w:ascii="Arial" w:hAnsi="Arial" w:cs="Arial"/>
          <w:color w:val="333333"/>
          <w:sz w:val="18"/>
          <w:szCs w:val="18"/>
        </w:rPr>
        <w:t>;</w:t>
      </w:r>
      <w:r>
        <w:rPr>
          <w:rFonts w:ascii="Arial" w:hAnsi="Arial" w:cs="Arial"/>
          <w:color w:val="292828"/>
          <w:sz w:val="23"/>
          <w:szCs w:val="23"/>
          <w:shd w:val="clear" w:color="auto" w:fill="FFFFFF"/>
        </w:rPr>
        <w:t> </w:t>
      </w:r>
    </w:p>
  </w:footnote>
  <w:footnote w:id="9">
    <w:p w:rsidR="006237A2" w:rsidRPr="00C32249" w:rsidRDefault="006237A2" w:rsidP="006237A2">
      <w:pPr>
        <w:pStyle w:val="FootnoteText"/>
        <w:rPr>
          <w:rFonts w:ascii="Arial" w:hAnsi="Arial" w:cs="Arial"/>
          <w:lang w:val="bs-Latn-BA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svaki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postupak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kojim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zamjenjuje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druge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materijale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koje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bi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inače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trebalo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upotrijebiti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ili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pripremiti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za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određenu</w:t>
      </w:r>
      <w:proofErr w:type="spellEnd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  <w:shd w:val="clear" w:color="auto" w:fill="FFFFFF"/>
        </w:rPr>
        <w:t>svrhu</w:t>
      </w:r>
      <w:proofErr w:type="spellEnd"/>
      <w:r w:rsidRPr="00C32249">
        <w:rPr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</w:t>
      </w:r>
      <w:r w:rsidRPr="00C32249">
        <w:rPr>
          <w:rFonts w:ascii="Arial" w:hAnsi="Arial" w:cs="Arial"/>
          <w:color w:val="333333"/>
          <w:sz w:val="18"/>
          <w:szCs w:val="18"/>
        </w:rPr>
        <w:t>(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prema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Prilogu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I.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Direktive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2008/98/EZ o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otpadu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;</w:t>
      </w:r>
    </w:p>
  </w:footnote>
  <w:footnote w:id="10">
    <w:p w:rsidR="006237A2" w:rsidRPr="00C32249" w:rsidRDefault="006237A2" w:rsidP="006237A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2249">
        <w:rPr>
          <w:rStyle w:val="FootnoteReference"/>
          <w:rFonts w:ascii="Arial" w:hAnsi="Arial" w:cs="Arial"/>
          <w:sz w:val="18"/>
          <w:szCs w:val="18"/>
        </w:rPr>
        <w:footnoteRef/>
      </w:r>
      <w:r w:rsidRPr="00C32249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tretman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znači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fizičke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termalne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hemijske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biološke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procese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uključujući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sortiranje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koji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mjenjaju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karakteristike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otpada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u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cilju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smanjivanja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količine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opasnih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osobina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olakšavaju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rukovanje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povećavaju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povrat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komponenti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otpada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;</w:t>
      </w:r>
    </w:p>
  </w:footnote>
  <w:footnote w:id="11">
    <w:p w:rsidR="006237A2" w:rsidRPr="00C32249" w:rsidRDefault="006237A2" w:rsidP="006237A2">
      <w:pPr>
        <w:spacing w:after="0" w:line="240" w:lineRule="auto"/>
        <w:jc w:val="both"/>
        <w:rPr>
          <w:rFonts w:ascii="Arial" w:hAnsi="Arial" w:cs="Arial"/>
          <w:color w:val="333333"/>
          <w:sz w:val="18"/>
          <w:szCs w:val="18"/>
        </w:rPr>
      </w:pPr>
      <w:r w:rsidRPr="00C32249">
        <w:rPr>
          <w:rStyle w:val="FootnoteReference"/>
          <w:rFonts w:ascii="Arial" w:hAnsi="Arial" w:cs="Arial"/>
        </w:rPr>
        <w:footnoteRef/>
      </w:r>
      <w:hyperlink r:id="rId1" w:tooltip="Luka" w:history="1">
        <w:proofErr w:type="spellStart"/>
        <w:r w:rsidRPr="00C32249">
          <w:rPr>
            <w:rFonts w:ascii="Arial" w:hAnsi="Arial" w:cs="Arial"/>
            <w:color w:val="333333"/>
            <w:sz w:val="18"/>
            <w:szCs w:val="18"/>
          </w:rPr>
          <w:t>pristanište</w:t>
        </w:r>
        <w:proofErr w:type="spellEnd"/>
      </w:hyperlink>
      <w:r w:rsidRPr="00C32249">
        <w:rPr>
          <w:rFonts w:ascii="Arial" w:hAnsi="Arial" w:cs="Arial"/>
          <w:color w:val="333333"/>
          <w:sz w:val="18"/>
          <w:szCs w:val="18"/>
        </w:rPr>
        <w:t xml:space="preserve"> za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manje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fldChar w:fldCharType="begin"/>
      </w:r>
      <w:r w:rsidRPr="00C32249">
        <w:rPr>
          <w:rFonts w:ascii="Arial" w:hAnsi="Arial" w:cs="Arial"/>
          <w:color w:val="333333"/>
          <w:sz w:val="18"/>
          <w:szCs w:val="18"/>
        </w:rPr>
        <w:instrText xml:space="preserve"> HYPERLINK "https://sh.wikipedia.org/wiki/Turizam" \o "Turizam" </w:instrText>
      </w:r>
      <w:r w:rsidRPr="00C32249">
        <w:rPr>
          <w:rFonts w:ascii="Arial" w:hAnsi="Arial" w:cs="Arial"/>
          <w:color w:val="333333"/>
          <w:sz w:val="18"/>
          <w:szCs w:val="18"/>
        </w:rPr>
        <w:fldChar w:fldCharType="separate"/>
      </w:r>
      <w:r w:rsidRPr="00C32249">
        <w:rPr>
          <w:rFonts w:ascii="Arial" w:hAnsi="Arial" w:cs="Arial"/>
          <w:color w:val="333333"/>
          <w:sz w:val="18"/>
          <w:szCs w:val="18"/>
        </w:rPr>
        <w:t>turističke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fldChar w:fldCharType="end"/>
      </w:r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brodove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jedrilice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 i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motorne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jahte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a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mogu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se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nalaziti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obali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mora,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rijeke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jezera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ili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kanala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;</w:t>
      </w:r>
    </w:p>
  </w:footnote>
  <w:footnote w:id="12">
    <w:p w:rsidR="006237A2" w:rsidRPr="00C32249" w:rsidRDefault="006237A2" w:rsidP="006237A2">
      <w:pPr>
        <w:spacing w:after="0" w:line="240" w:lineRule="auto"/>
        <w:jc w:val="both"/>
        <w:rPr>
          <w:rFonts w:ascii="Arial" w:hAnsi="Arial" w:cs="Arial"/>
          <w:lang w:val="bs-Latn-BA"/>
        </w:rPr>
      </w:pPr>
      <w:r w:rsidRPr="00C32249">
        <w:rPr>
          <w:rStyle w:val="FootnoteReference"/>
          <w:rFonts w:ascii="Arial" w:hAnsi="Arial" w:cs="Arial"/>
        </w:rPr>
        <w:footnoteRef/>
      </w:r>
      <w:r w:rsidRPr="00C32249">
        <w:rPr>
          <w:rStyle w:val="FootnoteReference"/>
          <w:rFonts w:ascii="Arial" w:hAnsi="Arial" w:cs="Arial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tematski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park je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zabavni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park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određenu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(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atraktivnu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)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temu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;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veliki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 park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na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periferiji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koji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svojom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arhitekturom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,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instaliranim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atraktivnim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mašinerijama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, 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držanjem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životinja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 i dr.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služi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za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zabavu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i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razonodu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širokom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krugu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 xml:space="preserve"> </w:t>
      </w:r>
      <w:proofErr w:type="spellStart"/>
      <w:r w:rsidRPr="00C32249">
        <w:rPr>
          <w:rFonts w:ascii="Arial" w:hAnsi="Arial" w:cs="Arial"/>
          <w:color w:val="333333"/>
          <w:sz w:val="18"/>
          <w:szCs w:val="18"/>
        </w:rPr>
        <w:t>posjetilaca</w:t>
      </w:r>
      <w:proofErr w:type="spellEnd"/>
      <w:r w:rsidRPr="00C32249">
        <w:rPr>
          <w:rFonts w:ascii="Arial" w:hAnsi="Arial" w:cs="Arial"/>
          <w:color w:val="333333"/>
          <w:sz w:val="18"/>
          <w:szCs w:val="18"/>
        </w:rPr>
        <w:t>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74BBE"/>
    <w:multiLevelType w:val="hybridMultilevel"/>
    <w:tmpl w:val="F8E8A4E2"/>
    <w:lvl w:ilvl="0" w:tplc="0122C598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23381"/>
    <w:multiLevelType w:val="hybridMultilevel"/>
    <w:tmpl w:val="8514BCDC"/>
    <w:lvl w:ilvl="0" w:tplc="3962D23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677684"/>
    <w:multiLevelType w:val="hybridMultilevel"/>
    <w:tmpl w:val="1074736E"/>
    <w:lvl w:ilvl="0" w:tplc="0809001B">
      <w:start w:val="1"/>
      <w:numFmt w:val="lowerRoman"/>
      <w:lvlText w:val="%1."/>
      <w:lvlJc w:val="right"/>
      <w:pPr>
        <w:ind w:left="771" w:hanging="360"/>
      </w:pPr>
    </w:lvl>
    <w:lvl w:ilvl="1" w:tplc="08090019" w:tentative="1">
      <w:start w:val="1"/>
      <w:numFmt w:val="lowerLetter"/>
      <w:lvlText w:val="%2."/>
      <w:lvlJc w:val="left"/>
      <w:pPr>
        <w:ind w:left="1491" w:hanging="360"/>
      </w:pPr>
    </w:lvl>
    <w:lvl w:ilvl="2" w:tplc="0809001B" w:tentative="1">
      <w:start w:val="1"/>
      <w:numFmt w:val="lowerRoman"/>
      <w:lvlText w:val="%3."/>
      <w:lvlJc w:val="right"/>
      <w:pPr>
        <w:ind w:left="2211" w:hanging="180"/>
      </w:pPr>
    </w:lvl>
    <w:lvl w:ilvl="3" w:tplc="0809000F" w:tentative="1">
      <w:start w:val="1"/>
      <w:numFmt w:val="decimal"/>
      <w:lvlText w:val="%4."/>
      <w:lvlJc w:val="left"/>
      <w:pPr>
        <w:ind w:left="2931" w:hanging="360"/>
      </w:pPr>
    </w:lvl>
    <w:lvl w:ilvl="4" w:tplc="08090019" w:tentative="1">
      <w:start w:val="1"/>
      <w:numFmt w:val="lowerLetter"/>
      <w:lvlText w:val="%5."/>
      <w:lvlJc w:val="left"/>
      <w:pPr>
        <w:ind w:left="3651" w:hanging="360"/>
      </w:pPr>
    </w:lvl>
    <w:lvl w:ilvl="5" w:tplc="0809001B" w:tentative="1">
      <w:start w:val="1"/>
      <w:numFmt w:val="lowerRoman"/>
      <w:lvlText w:val="%6."/>
      <w:lvlJc w:val="right"/>
      <w:pPr>
        <w:ind w:left="4371" w:hanging="180"/>
      </w:pPr>
    </w:lvl>
    <w:lvl w:ilvl="6" w:tplc="0809000F" w:tentative="1">
      <w:start w:val="1"/>
      <w:numFmt w:val="decimal"/>
      <w:lvlText w:val="%7."/>
      <w:lvlJc w:val="left"/>
      <w:pPr>
        <w:ind w:left="5091" w:hanging="360"/>
      </w:pPr>
    </w:lvl>
    <w:lvl w:ilvl="7" w:tplc="08090019" w:tentative="1">
      <w:start w:val="1"/>
      <w:numFmt w:val="lowerLetter"/>
      <w:lvlText w:val="%8."/>
      <w:lvlJc w:val="left"/>
      <w:pPr>
        <w:ind w:left="5811" w:hanging="360"/>
      </w:pPr>
    </w:lvl>
    <w:lvl w:ilvl="8" w:tplc="08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64990E35"/>
    <w:multiLevelType w:val="hybridMultilevel"/>
    <w:tmpl w:val="8772C03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7A2"/>
    <w:rsid w:val="001833D6"/>
    <w:rsid w:val="002D7419"/>
    <w:rsid w:val="0062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5756A3-869C-456D-9001-78BAB3FB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37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37A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237A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237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237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237A2"/>
    <w:rPr>
      <w:vertAlign w:val="superscript"/>
    </w:rPr>
  </w:style>
  <w:style w:type="table" w:styleId="TableGrid">
    <w:name w:val="Table Grid"/>
    <w:basedOn w:val="TableNormal"/>
    <w:uiPriority w:val="39"/>
    <w:rsid w:val="00623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h.wikipedia.org/wiki/Lu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2022-05-05T10:16:00Z</dcterms:created>
  <dcterms:modified xsi:type="dcterms:W3CDTF">2022-05-05T10:17:00Z</dcterms:modified>
</cp:coreProperties>
</file>