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16" w:rsidRPr="003E322B" w:rsidRDefault="009B31B3" w:rsidP="003E322B">
      <w:pPr>
        <w:jc w:val="both"/>
        <w:rPr>
          <w:rFonts w:ascii="Arial" w:hAnsi="Arial" w:cs="Arial"/>
          <w:color w:val="1F4E79" w:themeColor="accent1" w:themeShade="80"/>
        </w:rPr>
      </w:pPr>
      <w:r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I. </w:t>
      </w:r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Pogoni, </w:t>
      </w:r>
      <w:r w:rsidR="00E75A16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objekti </w:t>
      </w:r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>i skladišta</w:t>
      </w:r>
      <w:r w:rsidR="00E75A16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 </w:t>
      </w:r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koji podliježu obavezama u skladu </w:t>
      </w:r>
      <w:proofErr w:type="gramStart"/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>sa</w:t>
      </w:r>
      <w:proofErr w:type="gramEnd"/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 Pravilnikom o pogonima, postrojenjima i skladištima u kojima su prisutne opasne supstance koje mogu dovesti do nesreća većih razmjera ("Službene novine Federacije BiH",</w:t>
      </w:r>
      <w:r w:rsidR="003E322B" w:rsidRPr="003E322B">
        <w:rPr>
          <w:rFonts w:ascii="Arial" w:hAnsi="Arial" w:cs="Arial"/>
          <w:color w:val="1F4E79" w:themeColor="accent1" w:themeShade="80"/>
          <w:lang w:val="en-US"/>
        </w:rPr>
        <w:t> </w:t>
      </w:r>
      <w:r w:rsidR="003E322B" w:rsidRPr="003E322B">
        <w:rPr>
          <w:rFonts w:ascii="Arial" w:hAnsi="Arial" w:cs="Arial"/>
          <w:b/>
          <w:color w:val="1F4E79" w:themeColor="accent1" w:themeShade="80"/>
          <w:lang w:val="en-US"/>
        </w:rPr>
        <w:t>b</w:t>
      </w:r>
      <w:hyperlink r:id="rId5" w:history="1">
        <w:r w:rsidR="003E322B" w:rsidRPr="003E322B">
          <w:rPr>
            <w:rStyle w:val="Hyperlink"/>
            <w:rFonts w:ascii="Arial" w:hAnsi="Arial" w:cs="Arial"/>
            <w:b/>
            <w:color w:val="1F4E79" w:themeColor="accent1" w:themeShade="80"/>
            <w:u w:val="none"/>
            <w:lang w:val="en-US"/>
          </w:rPr>
          <w:t>r</w:t>
        </w:r>
      </w:hyperlink>
      <w:hyperlink r:id="rId6" w:history="1">
        <w:r w:rsidR="003E322B" w:rsidRPr="003E322B">
          <w:rPr>
            <w:rStyle w:val="Hyperlink"/>
            <w:rFonts w:ascii="Arial" w:hAnsi="Arial" w:cs="Arial"/>
            <w:b/>
            <w:color w:val="1F4E79" w:themeColor="accent1" w:themeShade="80"/>
            <w:u w:val="none"/>
            <w:lang w:val="en-US"/>
          </w:rPr>
          <w:t>: 51/21</w:t>
        </w:r>
      </w:hyperlink>
      <w:r w:rsidR="003E322B" w:rsidRPr="003E322B">
        <w:rPr>
          <w:rStyle w:val="Hyperlink"/>
          <w:rFonts w:ascii="Arial" w:hAnsi="Arial" w:cs="Arial"/>
          <w:b/>
          <w:color w:val="1F4E79" w:themeColor="accent1" w:themeShade="80"/>
          <w:u w:val="none"/>
          <w:lang w:val="en-US"/>
        </w:rPr>
        <w:t xml:space="preserve"> i 96/22</w:t>
      </w:r>
      <w:r w:rsidR="003E322B" w:rsidRPr="003E322B">
        <w:rPr>
          <w:rFonts w:ascii="Arial" w:hAnsi="Arial" w:cs="Arial"/>
          <w:b/>
          <w:color w:val="1F4E79" w:themeColor="accent1" w:themeShade="80"/>
          <w:lang w:val="en-US"/>
        </w:rPr>
        <w:t>)</w:t>
      </w:r>
      <w:r w:rsidR="003E322B" w:rsidRPr="003E322B">
        <w:rPr>
          <w:rFonts w:ascii="Arial" w:hAnsi="Arial" w:cs="Arial"/>
          <w:b/>
          <w:bCs/>
          <w:color w:val="1F4E79" w:themeColor="accent1" w:themeShade="80"/>
          <w:lang w:val="en-US"/>
        </w:rPr>
        <w:t xml:space="preserve">  </w:t>
      </w:r>
    </w:p>
    <w:p w:rsidR="00E75A16" w:rsidRDefault="00E75A16" w:rsidP="007E720B">
      <w:pPr>
        <w:tabs>
          <w:tab w:val="left" w:pos="720"/>
        </w:tabs>
        <w:spacing w:after="0" w:line="276" w:lineRule="auto"/>
        <w:jc w:val="both"/>
        <w:rPr>
          <w:rFonts w:ascii="Arial" w:hAnsi="Arial" w:cs="Arial"/>
          <w:noProof/>
          <w:u w:val="single"/>
          <w:lang w:val="hr-HR"/>
        </w:rPr>
      </w:pPr>
      <w:r w:rsidRPr="00E75A16">
        <w:rPr>
          <w:rFonts w:ascii="Arial" w:hAnsi="Arial" w:cs="Arial"/>
          <w:b/>
          <w:noProof/>
        </w:rPr>
        <w:t>„pogon, postrojenje i/ili skladište”</w:t>
      </w:r>
      <w:r w:rsidRPr="00E75A16">
        <w:rPr>
          <w:rFonts w:ascii="Arial" w:hAnsi="Arial" w:cs="Arial"/>
          <w:noProof/>
        </w:rPr>
        <w:t xml:space="preserve"> znači pogon, postrojenje i/ili skladište koje se nalazi na cijeloj lokaciji pod kontrolom određenog operatera, na kojoj su opasne supstance prisutne u jednom ili više pogona, postrojenja i/ili skladišta, uključujući zajedničke ili povezane infrastrukture ili djelatnosti; oni mogu biti pogoni, postrojenja i/ili skladišta </w:t>
      </w:r>
      <w:r w:rsidRPr="00D32D67">
        <w:rPr>
          <w:rFonts w:ascii="Arial" w:hAnsi="Arial" w:cs="Arial"/>
          <w:b/>
          <w:noProof/>
        </w:rPr>
        <w:t>nižeg razreda ili višeg razreda;</w:t>
      </w:r>
    </w:p>
    <w:p w:rsidR="007E720B" w:rsidRPr="007E720B" w:rsidRDefault="007E720B" w:rsidP="007E720B">
      <w:pPr>
        <w:tabs>
          <w:tab w:val="left" w:pos="720"/>
        </w:tabs>
        <w:spacing w:after="0" w:line="276" w:lineRule="auto"/>
        <w:jc w:val="both"/>
        <w:rPr>
          <w:rFonts w:ascii="Arial" w:hAnsi="Arial" w:cs="Arial"/>
          <w:noProof/>
          <w:u w:val="single"/>
          <w:lang w:val="hr-HR"/>
        </w:rPr>
      </w:pPr>
    </w:p>
    <w:p w:rsidR="00E75A16" w:rsidRDefault="007E720B" w:rsidP="007E720B">
      <w:pPr>
        <w:spacing w:after="0"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Niži razred </w:t>
      </w:r>
      <w:r w:rsidR="00E75A16">
        <w:rPr>
          <w:rFonts w:ascii="Arial" w:hAnsi="Arial" w:cs="Arial"/>
          <w:b/>
          <w:bCs/>
          <w:lang w:val="hr-HR"/>
        </w:rPr>
        <w:t xml:space="preserve">pogona, postrojenja i/ili skladišta </w:t>
      </w:r>
    </w:p>
    <w:p w:rsidR="00E75A16" w:rsidRPr="00D32D67" w:rsidRDefault="00E75A16" w:rsidP="007E720B">
      <w:pPr>
        <w:spacing w:after="0"/>
        <w:jc w:val="both"/>
        <w:rPr>
          <w:rFonts w:ascii="Arial" w:hAnsi="Arial" w:cs="Arial"/>
          <w:bCs/>
          <w:lang w:val="hr-HR"/>
        </w:rPr>
      </w:pPr>
      <w:r w:rsidRPr="00C76E8F">
        <w:rPr>
          <w:rFonts w:ascii="Arial" w:hAnsi="Arial" w:cs="Arial"/>
          <w:bCs/>
          <w:lang w:val="hr-HR"/>
        </w:rPr>
        <w:t>pogon, postrojenje i/ili skladište u kojem su opasne supstance prisutne u količinama koje su jednake ili veće od količina navedenih u Prilogu Ia Dio 1. kolona 2. ili. Dio 2. kolona 2.  ali manje od količina navedenih u Prilogu Ia Dio 1. kolona 3. ili Dio 2. kolona 3. (prema potrebi koristeći pravilo sabiranja</w:t>
      </w:r>
      <w:r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noProof/>
        </w:rPr>
        <w:t>utvrđeno u Bilješkama</w:t>
      </w:r>
      <w:r w:rsidRPr="004F4DDA">
        <w:rPr>
          <w:rFonts w:ascii="Arial" w:hAnsi="Arial" w:cs="Arial"/>
          <w:noProof/>
        </w:rPr>
        <w:t xml:space="preserve"> uz Prilog Ia</w:t>
      </w:r>
      <w:r>
        <w:rPr>
          <w:rFonts w:ascii="Arial" w:hAnsi="Arial" w:cs="Arial"/>
          <w:noProof/>
        </w:rPr>
        <w:t>.</w:t>
      </w:r>
      <w:r w:rsidRPr="00C76E8F">
        <w:rPr>
          <w:rFonts w:ascii="Arial" w:hAnsi="Arial" w:cs="Arial"/>
          <w:bCs/>
          <w:lang w:val="hr-HR"/>
        </w:rPr>
        <w:t>).</w:t>
      </w:r>
    </w:p>
    <w:p w:rsidR="007E720B" w:rsidRDefault="007E720B" w:rsidP="007E720B">
      <w:pPr>
        <w:spacing w:after="0"/>
        <w:jc w:val="both"/>
        <w:rPr>
          <w:rFonts w:ascii="Arial" w:hAnsi="Arial" w:cs="Arial"/>
          <w:b/>
          <w:bCs/>
          <w:lang w:val="hr-HR"/>
        </w:rPr>
      </w:pPr>
    </w:p>
    <w:p w:rsidR="00E75A16" w:rsidRDefault="007E720B" w:rsidP="007E720B">
      <w:pPr>
        <w:spacing w:after="0"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Viši razred </w:t>
      </w:r>
      <w:r w:rsidR="00E75A16">
        <w:rPr>
          <w:rFonts w:ascii="Arial" w:hAnsi="Arial" w:cs="Arial"/>
          <w:b/>
          <w:bCs/>
          <w:lang w:val="hr-HR"/>
        </w:rPr>
        <w:t xml:space="preserve">pogona, postrojenja i/ili skladišta </w:t>
      </w:r>
    </w:p>
    <w:p w:rsidR="00E75A16" w:rsidRPr="00D32D67" w:rsidRDefault="00E75A16" w:rsidP="007E720B">
      <w:pPr>
        <w:spacing w:after="0"/>
        <w:jc w:val="both"/>
        <w:rPr>
          <w:rFonts w:ascii="Arial" w:hAnsi="Arial" w:cs="Arial"/>
          <w:bCs/>
          <w:lang w:val="hr-HR"/>
        </w:rPr>
      </w:pPr>
      <w:r w:rsidRPr="00C76E8F">
        <w:rPr>
          <w:rFonts w:ascii="Arial" w:hAnsi="Arial" w:cs="Arial"/>
          <w:bCs/>
          <w:lang w:val="hr-HR"/>
        </w:rPr>
        <w:t>pogon, postrojenje i/ili skladište u kojem su opasne supstance prisutne u količinama koje su jednake ili veće od količina navedenih u Prilogu Ia Dio 1. kolona 3 ili Dio 2. kolona 3. (prema potrebi koristeći pravilo sabiranja</w:t>
      </w:r>
      <w:r w:rsidR="00C20F26">
        <w:rPr>
          <w:rFonts w:ascii="Arial" w:hAnsi="Arial" w:cs="Arial"/>
          <w:bCs/>
          <w:lang w:val="hr-HR"/>
        </w:rPr>
        <w:t xml:space="preserve"> </w:t>
      </w:r>
      <w:r w:rsidR="00C20F26">
        <w:rPr>
          <w:rFonts w:ascii="Arial" w:hAnsi="Arial" w:cs="Arial"/>
          <w:noProof/>
        </w:rPr>
        <w:t>utvrđeno u Bilješkama</w:t>
      </w:r>
      <w:r w:rsidR="00C20F26" w:rsidRPr="004F4DDA">
        <w:rPr>
          <w:rFonts w:ascii="Arial" w:hAnsi="Arial" w:cs="Arial"/>
          <w:noProof/>
        </w:rPr>
        <w:t xml:space="preserve"> uz Prilog Ia</w:t>
      </w:r>
      <w:r w:rsidR="00C20F26">
        <w:rPr>
          <w:rFonts w:ascii="Arial" w:hAnsi="Arial" w:cs="Arial"/>
          <w:noProof/>
        </w:rPr>
        <w:t>.</w:t>
      </w:r>
      <w:r w:rsidRPr="00C76E8F">
        <w:rPr>
          <w:rFonts w:ascii="Arial" w:hAnsi="Arial" w:cs="Arial"/>
          <w:bCs/>
          <w:lang w:val="hr-HR"/>
        </w:rPr>
        <w:t>).</w:t>
      </w:r>
    </w:p>
    <w:p w:rsidR="007E720B" w:rsidRDefault="007E720B" w:rsidP="00C20F26">
      <w:pPr>
        <w:jc w:val="both"/>
        <w:rPr>
          <w:rFonts w:ascii="Arial" w:hAnsi="Arial" w:cs="Arial"/>
          <w:b/>
          <w:color w:val="1F4E79" w:themeColor="accent1" w:themeShade="80"/>
        </w:rPr>
      </w:pPr>
    </w:p>
    <w:p w:rsidR="003E322B" w:rsidRPr="003E322B" w:rsidRDefault="003E322B" w:rsidP="00C20F26">
      <w:pPr>
        <w:jc w:val="both"/>
        <w:rPr>
          <w:rFonts w:ascii="Arial" w:hAnsi="Arial" w:cs="Arial"/>
          <w:b/>
          <w:color w:val="1F4E79" w:themeColor="accent1" w:themeShade="80"/>
        </w:rPr>
      </w:pPr>
      <w:r w:rsidRPr="003E322B">
        <w:rPr>
          <w:rFonts w:ascii="Arial" w:hAnsi="Arial" w:cs="Arial"/>
          <w:b/>
          <w:color w:val="1F4E79" w:themeColor="accent1" w:themeShade="80"/>
        </w:rPr>
        <w:t xml:space="preserve">II. Koju dokumentaciju dostavljaju operateri </w:t>
      </w:r>
      <w:r w:rsidR="00CB781C" w:rsidRPr="003E322B">
        <w:rPr>
          <w:rFonts w:ascii="Arial" w:hAnsi="Arial" w:cs="Arial"/>
          <w:b/>
          <w:color w:val="1F4E79" w:themeColor="accent1" w:themeShade="80"/>
        </w:rPr>
        <w:t xml:space="preserve">NIŽEG RAZREDA </w:t>
      </w:r>
      <w:r w:rsidRPr="003E322B">
        <w:rPr>
          <w:rFonts w:ascii="Arial" w:hAnsi="Arial" w:cs="Arial"/>
          <w:b/>
          <w:color w:val="1F4E79" w:themeColor="accent1" w:themeShade="80"/>
        </w:rPr>
        <w:t>uz zahtjev uz okolinsku dozvolu?</w:t>
      </w:r>
      <w:bookmarkStart w:id="0" w:name="_GoBack"/>
      <w:bookmarkEnd w:id="0"/>
    </w:p>
    <w:p w:rsidR="00C20F26" w:rsidRPr="003E322B" w:rsidRDefault="007E720B" w:rsidP="00C20F26">
      <w:pPr>
        <w:jc w:val="both"/>
        <w:rPr>
          <w:rFonts w:ascii="Arial" w:hAnsi="Arial" w:cs="Arial"/>
          <w:sz w:val="21"/>
          <w:szCs w:val="21"/>
        </w:rPr>
      </w:pPr>
      <w:r w:rsidRPr="003E322B">
        <w:rPr>
          <w:rFonts w:ascii="Arial" w:hAnsi="Arial" w:cs="Arial"/>
          <w:b/>
        </w:rPr>
        <w:t xml:space="preserve">Operateri </w:t>
      </w:r>
      <w:r w:rsidR="00CB781C" w:rsidRPr="003E322B">
        <w:rPr>
          <w:rFonts w:ascii="Arial" w:hAnsi="Arial" w:cs="Arial"/>
          <w:b/>
        </w:rPr>
        <w:t>nižeg razreda</w:t>
      </w:r>
      <w:r w:rsidRPr="003E322B">
        <w:rPr>
          <w:rFonts w:ascii="Arial" w:hAnsi="Arial" w:cs="Arial"/>
          <w:b/>
        </w:rPr>
        <w:t>, uz zahtjev za okolinsku dozvolu, dostavljaju slijedeće</w:t>
      </w:r>
      <w:r w:rsidRPr="003E322B">
        <w:rPr>
          <w:rFonts w:ascii="Arial" w:hAnsi="Arial" w:cs="Arial"/>
        </w:rPr>
        <w:t>:</w:t>
      </w:r>
    </w:p>
    <w:p w:rsidR="008C5135" w:rsidRPr="008C5135" w:rsidRDefault="00253794" w:rsidP="00253794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D32D67">
        <w:rPr>
          <w:rFonts w:ascii="Arial" w:eastAsia="Times New Roman" w:hAnsi="Arial" w:cs="Arial"/>
          <w:color w:val="000000"/>
        </w:rPr>
        <w:t>opunjen O</w:t>
      </w:r>
      <w:r w:rsidR="00C20F26" w:rsidRPr="00093F06">
        <w:rPr>
          <w:rFonts w:ascii="Arial" w:eastAsia="Times New Roman" w:hAnsi="Arial" w:cs="Arial"/>
          <w:color w:val="000000"/>
        </w:rPr>
        <w:t>brazac</w:t>
      </w:r>
      <w:r w:rsidR="00D32D67" w:rsidRPr="00D32D67">
        <w:rPr>
          <w:rFonts w:ascii="Arial" w:eastAsia="Times New Roman" w:hAnsi="Arial" w:cs="Arial"/>
          <w:color w:val="000000"/>
        </w:rPr>
        <w:t xml:space="preserve"> </w:t>
      </w:r>
      <w:r w:rsidR="00D32D67" w:rsidRPr="00D32D67">
        <w:rPr>
          <w:rFonts w:ascii="Arial" w:hAnsi="Arial" w:cs="Arial"/>
          <w:bCs/>
        </w:rPr>
        <w:t xml:space="preserve">obavijesti </w:t>
      </w:r>
      <w:r w:rsidR="00D32D67" w:rsidRPr="00A202B4">
        <w:rPr>
          <w:rFonts w:ascii="Arial" w:hAnsi="Arial" w:cs="Arial"/>
          <w:bCs/>
        </w:rPr>
        <w:t>operatera o skladištu koje može izazvati nesreća većih razmjera</w:t>
      </w:r>
      <w:r w:rsidR="008C5135">
        <w:rPr>
          <w:rFonts w:ascii="Arial" w:eastAsia="Times New Roman" w:hAnsi="Arial" w:cs="Arial"/>
          <w:color w:val="000000"/>
        </w:rPr>
        <w:t xml:space="preserve"> iz </w:t>
      </w:r>
      <w:r w:rsidR="00D32D67">
        <w:rPr>
          <w:rFonts w:ascii="Arial" w:eastAsia="Times New Roman" w:hAnsi="Arial" w:cs="Arial"/>
          <w:color w:val="000000"/>
        </w:rPr>
        <w:t>Prilog</w:t>
      </w:r>
      <w:r w:rsidR="008C5135">
        <w:rPr>
          <w:rFonts w:ascii="Arial" w:eastAsia="Times New Roman" w:hAnsi="Arial" w:cs="Arial"/>
          <w:color w:val="000000"/>
        </w:rPr>
        <w:t>a</w:t>
      </w:r>
      <w:r w:rsidR="00093F06">
        <w:rPr>
          <w:rFonts w:ascii="Arial" w:eastAsia="Times New Roman" w:hAnsi="Arial" w:cs="Arial"/>
          <w:color w:val="000000"/>
        </w:rPr>
        <w:t xml:space="preserve"> II. Pra</w:t>
      </w:r>
      <w:r w:rsidR="008C5135">
        <w:rPr>
          <w:rFonts w:ascii="Arial" w:eastAsia="Times New Roman" w:hAnsi="Arial" w:cs="Arial"/>
          <w:color w:val="000000"/>
        </w:rPr>
        <w:t>vilnika,</w:t>
      </w:r>
      <w:r w:rsidR="00EA0455">
        <w:rPr>
          <w:rFonts w:ascii="Arial" w:eastAsia="Times New Roman" w:hAnsi="Arial" w:cs="Arial"/>
          <w:color w:val="000000"/>
        </w:rPr>
        <w:t xml:space="preserve"> (elektronska verzija Obrasca – PRILOG II dostupna na web stranici ministarstva)</w:t>
      </w:r>
    </w:p>
    <w:p w:rsidR="00C20F26" w:rsidRPr="00093F06" w:rsidRDefault="00C20F26" w:rsidP="00253794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 w:rsidRPr="00093F06">
        <w:rPr>
          <w:rFonts w:ascii="Arial" w:eastAsia="Times New Roman" w:hAnsi="Arial" w:cs="Arial"/>
          <w:color w:val="000000"/>
        </w:rPr>
        <w:t>Plan sprečavanja nesreća većih razmjera</w:t>
      </w:r>
      <w:r w:rsidR="00D32D67">
        <w:rPr>
          <w:rFonts w:ascii="Arial" w:eastAsia="Times New Roman" w:hAnsi="Arial" w:cs="Arial"/>
          <w:color w:val="000000"/>
        </w:rPr>
        <w:t xml:space="preserve"> (</w:t>
      </w:r>
      <w:r w:rsidR="008C5135">
        <w:rPr>
          <w:rFonts w:ascii="Arial" w:eastAsia="Times New Roman" w:hAnsi="Arial" w:cs="Arial"/>
          <w:color w:val="000000"/>
        </w:rPr>
        <w:t>sadržaj Plana sprečavanja nesreća većih razmjera propisan članom 8. Pravilnika</w:t>
      </w:r>
      <w:r w:rsidR="00D32D67">
        <w:rPr>
          <w:rFonts w:ascii="Arial" w:eastAsia="Times New Roman" w:hAnsi="Arial" w:cs="Arial"/>
          <w:color w:val="000000"/>
        </w:rPr>
        <w:t>)</w:t>
      </w:r>
    </w:p>
    <w:p w:rsidR="00C20F26" w:rsidRPr="00093F06" w:rsidRDefault="00253794" w:rsidP="00253794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C20F26" w:rsidRPr="00093F06">
        <w:rPr>
          <w:rFonts w:ascii="Arial" w:eastAsia="Times New Roman" w:hAnsi="Arial" w:cs="Arial"/>
          <w:color w:val="000000"/>
        </w:rPr>
        <w:t xml:space="preserve">otpisana i ovjerena izjava o tačnosti </w:t>
      </w:r>
      <w:r w:rsidR="008C5135">
        <w:rPr>
          <w:rFonts w:ascii="Arial" w:eastAsia="Times New Roman" w:hAnsi="Arial" w:cs="Arial"/>
          <w:color w:val="000000"/>
        </w:rPr>
        <w:t xml:space="preserve">i istinitosti podataka </w:t>
      </w:r>
      <w:r w:rsidR="00C20F26" w:rsidRPr="00093F06">
        <w:rPr>
          <w:rFonts w:ascii="Arial" w:eastAsia="Times New Roman" w:hAnsi="Arial" w:cs="Arial"/>
          <w:color w:val="000000"/>
        </w:rPr>
        <w:t xml:space="preserve">iz Priloga IV. Pravilnika </w:t>
      </w:r>
      <w:r w:rsidR="00093F06">
        <w:rPr>
          <w:rFonts w:ascii="Arial" w:eastAsia="Times New Roman" w:hAnsi="Arial" w:cs="Arial"/>
          <w:color w:val="000000"/>
        </w:rPr>
        <w:t>(elektronska verzija Izjave dostupna na web stranici ministarstva)</w:t>
      </w:r>
    </w:p>
    <w:p w:rsidR="00C20F26" w:rsidRPr="00093F06" w:rsidRDefault="00C20F26" w:rsidP="00253794">
      <w:pPr>
        <w:numPr>
          <w:ilvl w:val="0"/>
          <w:numId w:val="2"/>
        </w:numPr>
        <w:spacing w:after="0" w:line="480" w:lineRule="auto"/>
        <w:jc w:val="both"/>
        <w:rPr>
          <w:rFonts w:ascii="Arial" w:eastAsia="Times New Roman" w:hAnsi="Arial" w:cs="Arial"/>
          <w:color w:val="000000"/>
        </w:rPr>
      </w:pPr>
      <w:r w:rsidRPr="00093F06">
        <w:rPr>
          <w:rFonts w:ascii="Arial" w:eastAsia="Times New Roman" w:hAnsi="Arial" w:cs="Arial"/>
          <w:color w:val="000000"/>
        </w:rPr>
        <w:t>Informacija o sigurnosnim mjerama (</w:t>
      </w:r>
      <w:r w:rsidR="001C76F2">
        <w:rPr>
          <w:rFonts w:ascii="Arial" w:eastAsia="Times New Roman" w:hAnsi="Arial" w:cs="Arial"/>
          <w:color w:val="000000"/>
        </w:rPr>
        <w:t xml:space="preserve">sadržaj Informacije o sigurnosnim mjerama propisan članom </w:t>
      </w:r>
      <w:r w:rsidR="00D32D67">
        <w:rPr>
          <w:rFonts w:ascii="Arial" w:eastAsia="Times New Roman" w:hAnsi="Arial" w:cs="Arial"/>
          <w:color w:val="000000"/>
        </w:rPr>
        <w:t xml:space="preserve">Pravilnika, </w:t>
      </w:r>
      <w:r w:rsidR="00093F06">
        <w:rPr>
          <w:rFonts w:ascii="Arial" w:eastAsia="Times New Roman" w:hAnsi="Arial" w:cs="Arial"/>
          <w:color w:val="000000"/>
        </w:rPr>
        <w:t>popunjava se</w:t>
      </w:r>
      <w:r w:rsidRPr="00093F06">
        <w:rPr>
          <w:rFonts w:ascii="Arial" w:eastAsia="Times New Roman" w:hAnsi="Arial" w:cs="Arial"/>
          <w:color w:val="000000"/>
        </w:rPr>
        <w:t xml:space="preserve"> DIO 1. iz PRILOGA III. Pravilnika) </w:t>
      </w:r>
    </w:p>
    <w:p w:rsidR="00C20F26" w:rsidRPr="007E720B" w:rsidRDefault="00C20F26" w:rsidP="007E720B">
      <w:pPr>
        <w:spacing w:after="0"/>
        <w:jc w:val="both"/>
        <w:rPr>
          <w:rFonts w:ascii="Arial" w:eastAsia="Times New Roman" w:hAnsi="Arial" w:cs="Arial"/>
          <w:color w:val="FF0000"/>
        </w:rPr>
      </w:pPr>
      <w:r w:rsidRPr="007E720B">
        <w:rPr>
          <w:rFonts w:ascii="Arial" w:eastAsia="Times New Roman" w:hAnsi="Arial" w:cs="Arial"/>
          <w:color w:val="FF0000"/>
        </w:rPr>
        <w:t xml:space="preserve">Niži razred ne dostavlja Unutrašnji plan </w:t>
      </w:r>
      <w:r w:rsidR="008C5135" w:rsidRPr="007E720B">
        <w:rPr>
          <w:rFonts w:ascii="Arial" w:eastAsia="Times New Roman" w:hAnsi="Arial" w:cs="Arial"/>
          <w:color w:val="FF0000"/>
        </w:rPr>
        <w:t xml:space="preserve">intervencije, </w:t>
      </w:r>
      <w:r w:rsidRPr="007E720B">
        <w:rPr>
          <w:rFonts w:ascii="Arial" w:eastAsia="Times New Roman" w:hAnsi="Arial" w:cs="Arial"/>
          <w:color w:val="FF0000"/>
        </w:rPr>
        <w:t>prema članu 14. Pravilnika</w:t>
      </w:r>
    </w:p>
    <w:p w:rsidR="003E322B" w:rsidRDefault="003E322B" w:rsidP="003E322B">
      <w:pPr>
        <w:jc w:val="both"/>
        <w:rPr>
          <w:rFonts w:ascii="Arial" w:hAnsi="Arial" w:cs="Arial"/>
          <w:b/>
          <w:color w:val="1F4E79" w:themeColor="accent1" w:themeShade="80"/>
        </w:rPr>
      </w:pPr>
    </w:p>
    <w:p w:rsidR="003E322B" w:rsidRDefault="003E322B" w:rsidP="003E322B">
      <w:pPr>
        <w:jc w:val="both"/>
        <w:rPr>
          <w:rFonts w:ascii="Arial" w:hAnsi="Arial" w:cs="Arial"/>
          <w:b/>
          <w:color w:val="1F4E79" w:themeColor="accent1" w:themeShade="80"/>
        </w:rPr>
      </w:pPr>
    </w:p>
    <w:p w:rsidR="003E322B" w:rsidRDefault="003E322B" w:rsidP="003E322B">
      <w:pPr>
        <w:jc w:val="both"/>
        <w:rPr>
          <w:rFonts w:ascii="Arial" w:hAnsi="Arial" w:cs="Arial"/>
          <w:b/>
          <w:color w:val="1F4E79" w:themeColor="accent1" w:themeShade="80"/>
        </w:rPr>
      </w:pPr>
    </w:p>
    <w:p w:rsidR="007E720B" w:rsidRDefault="003E322B" w:rsidP="00C20F26">
      <w:pPr>
        <w:jc w:val="both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lastRenderedPageBreak/>
        <w:t xml:space="preserve">III. Koju dokumentaciju dostavljaju operateri </w:t>
      </w:r>
      <w:r w:rsidR="00CB781C">
        <w:rPr>
          <w:rFonts w:ascii="Arial" w:hAnsi="Arial" w:cs="Arial"/>
          <w:b/>
          <w:color w:val="1F4E79" w:themeColor="accent1" w:themeShade="80"/>
        </w:rPr>
        <w:t xml:space="preserve">VIŠEG RAZREDA </w:t>
      </w:r>
      <w:r>
        <w:rPr>
          <w:rFonts w:ascii="Arial" w:hAnsi="Arial" w:cs="Arial"/>
          <w:b/>
          <w:color w:val="1F4E79" w:themeColor="accent1" w:themeShade="80"/>
        </w:rPr>
        <w:t>uz zahtjev uz okolinsku dozvolu?</w:t>
      </w:r>
    </w:p>
    <w:p w:rsidR="00C20F26" w:rsidRPr="009B31B3" w:rsidRDefault="00C20F26" w:rsidP="00C20F26">
      <w:pPr>
        <w:jc w:val="both"/>
        <w:rPr>
          <w:rFonts w:ascii="Arial" w:hAnsi="Arial" w:cs="Arial"/>
          <w:b/>
          <w:color w:val="1F4E79" w:themeColor="accent1" w:themeShade="80"/>
          <w:sz w:val="21"/>
          <w:szCs w:val="21"/>
        </w:rPr>
      </w:pPr>
      <w:r w:rsidRPr="009B31B3">
        <w:rPr>
          <w:rFonts w:ascii="Arial" w:hAnsi="Arial" w:cs="Arial"/>
          <w:b/>
          <w:color w:val="1F4E79" w:themeColor="accent1" w:themeShade="80"/>
        </w:rPr>
        <w:t xml:space="preserve">Operateri </w:t>
      </w:r>
      <w:r w:rsidR="00CB781C" w:rsidRPr="009B31B3">
        <w:rPr>
          <w:rFonts w:ascii="Arial" w:hAnsi="Arial" w:cs="Arial"/>
          <w:b/>
          <w:color w:val="1F4E79" w:themeColor="accent1" w:themeShade="80"/>
        </w:rPr>
        <w:t xml:space="preserve">višeg razreda </w:t>
      </w:r>
      <w:r w:rsidRPr="009B31B3">
        <w:rPr>
          <w:rFonts w:ascii="Arial" w:hAnsi="Arial" w:cs="Arial"/>
          <w:b/>
          <w:color w:val="1F4E79" w:themeColor="accent1" w:themeShade="80"/>
        </w:rPr>
        <w:t xml:space="preserve">uz zahtjev za okolinsku dozvolu </w:t>
      </w:r>
      <w:r w:rsidR="00D32D67" w:rsidRPr="009B31B3">
        <w:rPr>
          <w:rFonts w:ascii="Arial" w:hAnsi="Arial" w:cs="Arial"/>
          <w:b/>
          <w:color w:val="1F4E79" w:themeColor="accent1" w:themeShade="80"/>
        </w:rPr>
        <w:t xml:space="preserve">dostavljaju </w:t>
      </w:r>
      <w:r w:rsidRPr="009B31B3">
        <w:rPr>
          <w:rFonts w:ascii="Arial" w:hAnsi="Arial" w:cs="Arial"/>
          <w:b/>
          <w:color w:val="1F4E79" w:themeColor="accent1" w:themeShade="80"/>
        </w:rPr>
        <w:t>slijedeće:</w:t>
      </w:r>
    </w:p>
    <w:p w:rsidR="00C20F26" w:rsidRDefault="00253794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D32D67">
        <w:rPr>
          <w:rFonts w:ascii="Arial" w:eastAsia="Times New Roman" w:hAnsi="Arial" w:cs="Arial"/>
          <w:color w:val="000000"/>
        </w:rPr>
        <w:t>opunjen O</w:t>
      </w:r>
      <w:r w:rsidR="00C20F26" w:rsidRPr="00093F06">
        <w:rPr>
          <w:rFonts w:ascii="Arial" w:eastAsia="Times New Roman" w:hAnsi="Arial" w:cs="Arial"/>
          <w:color w:val="000000"/>
        </w:rPr>
        <w:t>brazac</w:t>
      </w:r>
      <w:r w:rsidR="00D32D67">
        <w:rPr>
          <w:rFonts w:ascii="Arial" w:eastAsia="Times New Roman" w:hAnsi="Arial" w:cs="Arial"/>
          <w:color w:val="000000"/>
        </w:rPr>
        <w:t xml:space="preserve"> </w:t>
      </w:r>
      <w:r w:rsidR="00D32D67" w:rsidRPr="00D32D67">
        <w:rPr>
          <w:rFonts w:ascii="Arial" w:hAnsi="Arial" w:cs="Arial"/>
          <w:bCs/>
        </w:rPr>
        <w:t xml:space="preserve">obavijesti </w:t>
      </w:r>
      <w:r w:rsidR="00D32D67" w:rsidRPr="00A202B4">
        <w:rPr>
          <w:rFonts w:ascii="Arial" w:hAnsi="Arial" w:cs="Arial"/>
          <w:bCs/>
        </w:rPr>
        <w:t>operatera o skladištu koje može izazvati nesreća većih razmjera</w:t>
      </w:r>
      <w:r w:rsidR="008C5135">
        <w:rPr>
          <w:rFonts w:ascii="Arial" w:hAnsi="Arial" w:cs="Arial"/>
          <w:bCs/>
        </w:rPr>
        <w:t xml:space="preserve"> iz </w:t>
      </w:r>
      <w:r w:rsidR="008C5135">
        <w:rPr>
          <w:rFonts w:ascii="Arial" w:eastAsia="Times New Roman" w:hAnsi="Arial" w:cs="Arial"/>
          <w:color w:val="000000"/>
        </w:rPr>
        <w:t>Priloga II. Pravilnika</w:t>
      </w:r>
      <w:r w:rsidR="00D32D67">
        <w:rPr>
          <w:rFonts w:ascii="Arial" w:eastAsia="Times New Roman" w:hAnsi="Arial" w:cs="Arial"/>
          <w:color w:val="000000"/>
        </w:rPr>
        <w:t xml:space="preserve"> </w:t>
      </w:r>
      <w:r w:rsidR="00EA0455">
        <w:rPr>
          <w:rFonts w:ascii="Arial" w:eastAsia="Times New Roman" w:hAnsi="Arial" w:cs="Arial"/>
          <w:color w:val="000000"/>
        </w:rPr>
        <w:t>(elektronska verzija Obrasca – PRILOG II dostupna na web stranici ministarstva)</w:t>
      </w:r>
    </w:p>
    <w:p w:rsidR="008C5135" w:rsidRPr="00093F06" w:rsidRDefault="00253794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8C5135" w:rsidRPr="00093F06">
        <w:rPr>
          <w:rFonts w:ascii="Arial" w:eastAsia="Times New Roman" w:hAnsi="Arial" w:cs="Arial"/>
          <w:color w:val="000000"/>
        </w:rPr>
        <w:t xml:space="preserve">otpisana i ovjerena izjava o tačnosti </w:t>
      </w:r>
      <w:r w:rsidR="008C5135">
        <w:rPr>
          <w:rFonts w:ascii="Arial" w:eastAsia="Times New Roman" w:hAnsi="Arial" w:cs="Arial"/>
          <w:color w:val="000000"/>
        </w:rPr>
        <w:t xml:space="preserve">i istinitosti podataka </w:t>
      </w:r>
      <w:r w:rsidR="008C5135" w:rsidRPr="00093F06">
        <w:rPr>
          <w:rFonts w:ascii="Arial" w:eastAsia="Times New Roman" w:hAnsi="Arial" w:cs="Arial"/>
          <w:color w:val="000000"/>
        </w:rPr>
        <w:t xml:space="preserve">iz Priloga IV. Pravilnika </w:t>
      </w:r>
      <w:r w:rsidR="008C5135">
        <w:rPr>
          <w:rFonts w:ascii="Arial" w:eastAsia="Times New Roman" w:hAnsi="Arial" w:cs="Arial"/>
          <w:color w:val="000000"/>
        </w:rPr>
        <w:t>(elektronska verzija Izjave dostupna na web stranici ministarstva)</w:t>
      </w:r>
    </w:p>
    <w:p w:rsidR="00C20F26" w:rsidRPr="00093F06" w:rsidRDefault="00C20F26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 w:rsidRPr="00093F06">
        <w:rPr>
          <w:rFonts w:ascii="Arial" w:eastAsia="Times New Roman" w:hAnsi="Arial" w:cs="Arial"/>
          <w:color w:val="000000"/>
        </w:rPr>
        <w:t>Plan sprečavanja nesreća većih razmjera</w:t>
      </w:r>
      <w:r w:rsidR="00D32D67">
        <w:rPr>
          <w:rFonts w:ascii="Arial" w:eastAsia="Times New Roman" w:hAnsi="Arial" w:cs="Arial"/>
          <w:color w:val="000000"/>
        </w:rPr>
        <w:t xml:space="preserve"> (</w:t>
      </w:r>
      <w:r w:rsidR="008C5135">
        <w:rPr>
          <w:rFonts w:ascii="Arial" w:eastAsia="Times New Roman" w:hAnsi="Arial" w:cs="Arial"/>
          <w:color w:val="000000"/>
        </w:rPr>
        <w:t xml:space="preserve">sadržaj Plana sprečavanja nesreća većih razmjera - </w:t>
      </w:r>
      <w:r w:rsidR="00D32D67">
        <w:rPr>
          <w:rFonts w:ascii="Arial" w:eastAsia="Times New Roman" w:hAnsi="Arial" w:cs="Arial"/>
          <w:color w:val="000000"/>
        </w:rPr>
        <w:t>član 8. Pravilnika)</w:t>
      </w:r>
    </w:p>
    <w:p w:rsidR="00D32D67" w:rsidRDefault="00D32D67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Izvještaj o stanju sigurnosti (</w:t>
      </w:r>
      <w:r w:rsidR="008C5135" w:rsidRPr="008C5135">
        <w:rPr>
          <w:rFonts w:ascii="Arial" w:hAnsi="Arial" w:cs="Arial"/>
          <w:lang w:val="en-US"/>
        </w:rPr>
        <w:t xml:space="preserve">Sadržaj </w:t>
      </w:r>
      <w:r w:rsidR="008C5135" w:rsidRPr="008C5135">
        <w:rPr>
          <w:rFonts w:ascii="Arial" w:hAnsi="Arial" w:cs="Arial"/>
          <w:lang w:val="hr-HR"/>
        </w:rPr>
        <w:t>Izvještaj</w:t>
      </w:r>
      <w:r w:rsidR="008C5135" w:rsidRPr="008C5135">
        <w:rPr>
          <w:rFonts w:ascii="Arial" w:hAnsi="Arial" w:cs="Arial"/>
          <w:lang w:val="en-US"/>
        </w:rPr>
        <w:t>a</w:t>
      </w:r>
      <w:r w:rsidR="008C5135" w:rsidRPr="008C5135">
        <w:rPr>
          <w:rFonts w:ascii="Arial" w:hAnsi="Arial" w:cs="Arial"/>
          <w:lang w:val="hr-HR"/>
        </w:rPr>
        <w:t xml:space="preserve"> o stanju sigurnosti</w:t>
      </w:r>
      <w:r w:rsidR="008C5135" w:rsidRPr="008C5135">
        <w:rPr>
          <w:rFonts w:ascii="Arial" w:hAnsi="Arial" w:cs="Arial"/>
          <w:lang w:val="en-US"/>
        </w:rPr>
        <w:t xml:space="preserve"> propisan članom </w:t>
      </w:r>
      <w:r w:rsidR="008C5135" w:rsidRPr="008C5135">
        <w:rPr>
          <w:rFonts w:ascii="Arial" w:hAnsi="Arial" w:cs="Arial"/>
          <w:bCs/>
          <w:lang w:val="en-US"/>
        </w:rPr>
        <w:t>11</w:t>
      </w:r>
      <w:r w:rsidR="008C5135" w:rsidRPr="008C5135">
        <w:rPr>
          <w:rFonts w:ascii="Arial" w:hAnsi="Arial" w:cs="Arial"/>
          <w:lang w:val="en-US"/>
        </w:rPr>
        <w:t>. Pravilnika</w:t>
      </w:r>
      <w:r w:rsidRPr="008C5135">
        <w:rPr>
          <w:rFonts w:ascii="Arial" w:eastAsia="Times New Roman" w:hAnsi="Arial" w:cs="Arial"/>
          <w:color w:val="000000"/>
        </w:rPr>
        <w:t>)</w:t>
      </w:r>
    </w:p>
    <w:p w:rsidR="00C20F26" w:rsidRPr="00093F06" w:rsidRDefault="008C5135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Unutrašnji plan intervencije</w:t>
      </w:r>
      <w:r w:rsidR="00D32D67">
        <w:rPr>
          <w:rFonts w:ascii="Arial" w:eastAsia="Times New Roman" w:hAnsi="Arial" w:cs="Arial"/>
          <w:color w:val="000000"/>
        </w:rPr>
        <w:t xml:space="preserve"> (</w:t>
      </w:r>
      <w:r>
        <w:rPr>
          <w:rFonts w:ascii="Arial" w:eastAsia="Times New Roman" w:hAnsi="Arial" w:cs="Arial"/>
          <w:color w:val="000000"/>
        </w:rPr>
        <w:t xml:space="preserve">sadržaj Unutrašnjeg plana propisan </w:t>
      </w:r>
      <w:r w:rsidR="00D32D67">
        <w:rPr>
          <w:rFonts w:ascii="Arial" w:eastAsia="Times New Roman" w:hAnsi="Arial" w:cs="Arial"/>
          <w:color w:val="000000"/>
        </w:rPr>
        <w:t>član</w:t>
      </w:r>
      <w:r>
        <w:rPr>
          <w:rFonts w:ascii="Arial" w:eastAsia="Times New Roman" w:hAnsi="Arial" w:cs="Arial"/>
          <w:color w:val="000000"/>
        </w:rPr>
        <w:t>om</w:t>
      </w:r>
      <w:r w:rsidR="00D32D67">
        <w:rPr>
          <w:rFonts w:ascii="Arial" w:eastAsia="Times New Roman" w:hAnsi="Arial" w:cs="Arial"/>
          <w:color w:val="000000"/>
        </w:rPr>
        <w:t xml:space="preserve"> 14. Pravilnika)</w:t>
      </w:r>
    </w:p>
    <w:p w:rsidR="003A445A" w:rsidRPr="003A445A" w:rsidRDefault="00C20F26" w:rsidP="00253794">
      <w:pPr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color w:val="000000"/>
        </w:rPr>
      </w:pPr>
      <w:r w:rsidRPr="00093F06">
        <w:rPr>
          <w:rFonts w:ascii="Arial" w:eastAsia="Times New Roman" w:hAnsi="Arial" w:cs="Arial"/>
          <w:color w:val="000000"/>
        </w:rPr>
        <w:t>Informacija o sigurnosnim mjerama (</w:t>
      </w:r>
      <w:r w:rsidR="00EA0455">
        <w:rPr>
          <w:rFonts w:ascii="Arial" w:eastAsia="Times New Roman" w:hAnsi="Arial" w:cs="Arial"/>
          <w:color w:val="000000"/>
        </w:rPr>
        <w:t>sadržaj I</w:t>
      </w:r>
      <w:r w:rsidR="008C5135">
        <w:rPr>
          <w:rFonts w:ascii="Arial" w:eastAsia="Times New Roman" w:hAnsi="Arial" w:cs="Arial"/>
          <w:color w:val="000000"/>
        </w:rPr>
        <w:t xml:space="preserve">nformacije o sigurnosnim mjerama propisan </w:t>
      </w:r>
      <w:r w:rsidR="00D32D67">
        <w:rPr>
          <w:rFonts w:ascii="Arial" w:eastAsia="Times New Roman" w:hAnsi="Arial" w:cs="Arial"/>
          <w:color w:val="000000"/>
        </w:rPr>
        <w:t>član</w:t>
      </w:r>
      <w:r w:rsidR="008C5135">
        <w:rPr>
          <w:rFonts w:ascii="Arial" w:eastAsia="Times New Roman" w:hAnsi="Arial" w:cs="Arial"/>
          <w:color w:val="000000"/>
        </w:rPr>
        <w:t>om</w:t>
      </w:r>
      <w:r w:rsidR="00D32D67">
        <w:rPr>
          <w:rFonts w:ascii="Arial" w:eastAsia="Times New Roman" w:hAnsi="Arial" w:cs="Arial"/>
          <w:color w:val="000000"/>
        </w:rPr>
        <w:t xml:space="preserve"> 16. Pravilnika, </w:t>
      </w:r>
      <w:r w:rsidRPr="00093F06">
        <w:rPr>
          <w:rFonts w:ascii="Arial" w:eastAsia="Times New Roman" w:hAnsi="Arial" w:cs="Arial"/>
          <w:color w:val="000000"/>
        </w:rPr>
        <w:t xml:space="preserve">popunjava </w:t>
      </w:r>
      <w:r w:rsidR="00D32D67">
        <w:rPr>
          <w:rFonts w:ascii="Arial" w:eastAsia="Times New Roman" w:hAnsi="Arial" w:cs="Arial"/>
          <w:color w:val="000000"/>
        </w:rPr>
        <w:t xml:space="preserve">se </w:t>
      </w:r>
      <w:r w:rsidRPr="00093F06">
        <w:rPr>
          <w:rFonts w:ascii="Arial" w:eastAsia="Times New Roman" w:hAnsi="Arial" w:cs="Arial"/>
          <w:color w:val="000000"/>
        </w:rPr>
        <w:t xml:space="preserve">DIO 1. i DIO 2. iz PRILOGA III. Pravilnika) </w:t>
      </w:r>
    </w:p>
    <w:p w:rsidR="003A445A" w:rsidRPr="003A445A" w:rsidRDefault="003E322B" w:rsidP="003A445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</w:t>
      </w:r>
      <w:r w:rsidR="009B31B3">
        <w:rPr>
          <w:rFonts w:ascii="Arial" w:hAnsi="Arial" w:cs="Arial"/>
          <w:b/>
          <w:bCs/>
        </w:rPr>
        <w:t xml:space="preserve">. </w:t>
      </w:r>
      <w:r w:rsidR="003A445A" w:rsidRPr="003A445A">
        <w:rPr>
          <w:rFonts w:ascii="Arial" w:hAnsi="Arial" w:cs="Arial"/>
          <w:b/>
          <w:bCs/>
        </w:rPr>
        <w:t>Obaveze ažuriranja</w:t>
      </w:r>
      <w:r w:rsidR="009B31B3">
        <w:rPr>
          <w:rFonts w:ascii="Arial" w:hAnsi="Arial" w:cs="Arial"/>
          <w:b/>
          <w:bCs/>
        </w:rPr>
        <w:t xml:space="preserve"> </w:t>
      </w:r>
      <w:r w:rsidR="009B31B3" w:rsidRPr="009B31B3">
        <w:rPr>
          <w:rFonts w:ascii="Arial" w:eastAsia="Times New Roman" w:hAnsi="Arial" w:cs="Arial"/>
          <w:b/>
          <w:color w:val="000000"/>
        </w:rPr>
        <w:t xml:space="preserve">Plan sprečavanja nesreća većih razmjera i/ili </w:t>
      </w:r>
      <w:r w:rsidR="009B31B3" w:rsidRPr="009B31B3">
        <w:rPr>
          <w:rFonts w:ascii="Arial" w:hAnsi="Arial" w:cs="Arial"/>
          <w:b/>
          <w:lang w:val="hr-HR"/>
        </w:rPr>
        <w:t>Izvještaj</w:t>
      </w:r>
      <w:r w:rsidR="009B31B3" w:rsidRPr="009B31B3">
        <w:rPr>
          <w:rFonts w:ascii="Arial" w:hAnsi="Arial" w:cs="Arial"/>
          <w:b/>
          <w:lang w:val="en-US"/>
        </w:rPr>
        <w:t>a</w:t>
      </w:r>
      <w:r w:rsidR="009B31B3" w:rsidRPr="009B31B3">
        <w:rPr>
          <w:rFonts w:ascii="Arial" w:hAnsi="Arial" w:cs="Arial"/>
          <w:b/>
          <w:lang w:val="hr-HR"/>
        </w:rPr>
        <w:t xml:space="preserve"> o stanju sigurnosti</w:t>
      </w:r>
    </w:p>
    <w:p w:rsidR="007D4B32" w:rsidRDefault="007D4B32" w:rsidP="009B31B3">
      <w:pPr>
        <w:pStyle w:val="NoSpacing"/>
        <w:spacing w:line="276" w:lineRule="auto"/>
        <w:rPr>
          <w:rFonts w:ascii="Arial" w:hAnsi="Arial" w:cs="Arial"/>
          <w:b/>
          <w:noProof/>
          <w:color w:val="1F4E79" w:themeColor="accent1" w:themeShade="80"/>
          <w:szCs w:val="20"/>
          <w:lang w:val="hr-HR"/>
        </w:rPr>
      </w:pPr>
    </w:p>
    <w:p w:rsidR="007D4B32" w:rsidRDefault="009B31B3" w:rsidP="007D4B32">
      <w:pPr>
        <w:pStyle w:val="NoSpacing"/>
        <w:spacing w:line="276" w:lineRule="auto"/>
        <w:rPr>
          <w:rFonts w:ascii="Arial" w:hAnsi="Arial" w:cs="Arial"/>
          <w:b/>
          <w:noProof/>
          <w:color w:val="1F4E79" w:themeColor="accent1" w:themeShade="80"/>
          <w:szCs w:val="20"/>
          <w:lang w:val="hr-HR"/>
        </w:rPr>
      </w:pPr>
      <w:r w:rsidRPr="009B31B3">
        <w:rPr>
          <w:rFonts w:ascii="Arial" w:hAnsi="Arial" w:cs="Arial"/>
          <w:b/>
          <w:noProof/>
          <w:color w:val="1F4E79" w:themeColor="accent1" w:themeShade="80"/>
          <w:szCs w:val="20"/>
          <w:lang w:val="hr-HR"/>
        </w:rPr>
        <w:t>Član 13. Pravilnika</w:t>
      </w:r>
    </w:p>
    <w:p w:rsidR="007D4B32" w:rsidRPr="007D4B32" w:rsidRDefault="007D4B32" w:rsidP="007D4B32">
      <w:pPr>
        <w:pStyle w:val="NoSpacing"/>
        <w:spacing w:line="276" w:lineRule="auto"/>
        <w:rPr>
          <w:rFonts w:ascii="Arial" w:hAnsi="Arial" w:cs="Arial"/>
          <w:b/>
          <w:noProof/>
          <w:color w:val="1F4E79" w:themeColor="accent1" w:themeShade="80"/>
          <w:szCs w:val="20"/>
          <w:lang w:val="hr-HR"/>
        </w:rPr>
      </w:pPr>
    </w:p>
    <w:p w:rsidR="009B31B3" w:rsidRPr="004F4DDA" w:rsidRDefault="009B31B3" w:rsidP="009B31B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4F4DDA">
        <w:rPr>
          <w:rFonts w:ascii="Arial" w:eastAsiaTheme="minorHAnsi" w:hAnsi="Arial" w:cs="Arial"/>
          <w:noProof/>
          <w:sz w:val="22"/>
          <w:szCs w:val="22"/>
        </w:rPr>
        <w:t>(1) U skladu sa stavom (2) člana 107. Zakona</w:t>
      </w:r>
      <w:r w:rsidR="00BA7D76">
        <w:rPr>
          <w:rFonts w:ascii="Arial" w:eastAsiaTheme="minorHAnsi" w:hAnsi="Arial" w:cs="Arial"/>
          <w:noProof/>
          <w:sz w:val="22"/>
          <w:szCs w:val="22"/>
        </w:rPr>
        <w:t xml:space="preserve"> o zaštiti okoliš (“Službene novine F BiH”, broj: 15/21)</w:t>
      </w:r>
      <w:r w:rsidRPr="004F4DDA">
        <w:rPr>
          <w:rFonts w:ascii="Arial" w:eastAsiaTheme="minorHAnsi" w:hAnsi="Arial" w:cs="Arial"/>
          <w:noProof/>
          <w:sz w:val="22"/>
          <w:szCs w:val="22"/>
        </w:rPr>
        <w:t>, operater je dužan ažurirati Izvještaj o stanju sigurnosti, te u tom smislu izvršiti dopune podataka i informacija, uklju</w:t>
      </w:r>
      <w:r>
        <w:rPr>
          <w:rFonts w:ascii="Arial" w:eastAsiaTheme="minorHAnsi" w:hAnsi="Arial" w:cs="Arial"/>
          <w:noProof/>
          <w:sz w:val="22"/>
          <w:szCs w:val="22"/>
        </w:rPr>
        <w:t>čujući i Plan sprečavanja nesreća većih razmjera iz člana 8. P</w:t>
      </w:r>
      <w:r w:rsidRPr="004F4DDA">
        <w:rPr>
          <w:rFonts w:ascii="Arial" w:eastAsiaTheme="minorHAnsi" w:hAnsi="Arial" w:cs="Arial"/>
          <w:noProof/>
          <w:sz w:val="22"/>
          <w:szCs w:val="22"/>
        </w:rPr>
        <w:t>ravilnika, i to:</w:t>
      </w:r>
    </w:p>
    <w:p w:rsidR="009B31B3" w:rsidRPr="007C37EB" w:rsidRDefault="009B31B3" w:rsidP="009B31B3">
      <w:pPr>
        <w:pStyle w:val="NoSpacing"/>
        <w:spacing w:line="276" w:lineRule="auto"/>
        <w:rPr>
          <w:rFonts w:ascii="Arial" w:hAnsi="Arial" w:cs="Arial"/>
          <w:b/>
          <w:noProof/>
          <w:sz w:val="20"/>
          <w:szCs w:val="20"/>
          <w:lang w:val="hr-HR"/>
        </w:rPr>
      </w:pPr>
    </w:p>
    <w:p w:rsidR="009B31B3" w:rsidRPr="009B31B3" w:rsidRDefault="009B31B3" w:rsidP="009B31B3">
      <w:pPr>
        <w:jc w:val="both"/>
        <w:rPr>
          <w:rFonts w:ascii="Arial" w:hAnsi="Arial" w:cs="Arial"/>
          <w:b/>
          <w:noProof/>
        </w:rPr>
      </w:pPr>
      <w:r w:rsidRPr="009B31B3">
        <w:rPr>
          <w:rFonts w:ascii="Arial" w:hAnsi="Arial" w:cs="Arial"/>
          <w:b/>
          <w:noProof/>
        </w:rPr>
        <w:t>a) svakih 5 godina od posljednjeg Izvještaja o stanju sigurnosti</w:t>
      </w:r>
    </w:p>
    <w:p w:rsidR="009B31B3" w:rsidRPr="009B31B3" w:rsidRDefault="009B31B3" w:rsidP="009B31B3">
      <w:pPr>
        <w:jc w:val="both"/>
        <w:rPr>
          <w:rFonts w:ascii="Arial" w:hAnsi="Arial" w:cs="Arial"/>
          <w:b/>
          <w:noProof/>
        </w:rPr>
      </w:pPr>
      <w:r w:rsidRPr="009B31B3">
        <w:rPr>
          <w:rFonts w:ascii="Arial" w:hAnsi="Arial" w:cs="Arial"/>
          <w:b/>
          <w:noProof/>
        </w:rPr>
        <w:t>b) bez odlaganja, u slučaju bilo kakve promjene, rekonstrukcije uključujući i slučaj prestanka rada pogona/postrojenja/skladišta, a najkasnije u roku od 60 dana od značajne promjene:</w:t>
      </w:r>
    </w:p>
    <w:p w:rsidR="009B31B3" w:rsidRPr="009B31B3" w:rsidRDefault="009B31B3" w:rsidP="009B31B3">
      <w:pPr>
        <w:pStyle w:val="t-9-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9B31B3">
        <w:rPr>
          <w:rFonts w:ascii="Arial" w:eastAsiaTheme="minorHAnsi" w:hAnsi="Arial" w:cs="Arial"/>
          <w:noProof/>
          <w:sz w:val="22"/>
          <w:szCs w:val="22"/>
        </w:rPr>
        <w:t>– u postrojenju;</w:t>
      </w:r>
    </w:p>
    <w:p w:rsidR="009B31B3" w:rsidRPr="009B31B3" w:rsidRDefault="009B31B3" w:rsidP="009B31B3">
      <w:pPr>
        <w:pStyle w:val="t-9-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9B31B3">
        <w:rPr>
          <w:rFonts w:ascii="Arial" w:eastAsiaTheme="minorHAnsi" w:hAnsi="Arial" w:cs="Arial"/>
          <w:noProof/>
          <w:sz w:val="22"/>
          <w:szCs w:val="22"/>
        </w:rPr>
        <w:t>– u skladišnom prostoru;</w:t>
      </w:r>
    </w:p>
    <w:p w:rsidR="009B31B3" w:rsidRPr="009B31B3" w:rsidRDefault="009B31B3" w:rsidP="009B31B3">
      <w:pPr>
        <w:pStyle w:val="t-9-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9B31B3">
        <w:rPr>
          <w:rFonts w:ascii="Arial" w:eastAsiaTheme="minorHAnsi" w:hAnsi="Arial" w:cs="Arial"/>
          <w:noProof/>
          <w:sz w:val="22"/>
          <w:szCs w:val="22"/>
        </w:rPr>
        <w:t>– u postupku u kojem se koristi opasna supstanca;</w:t>
      </w:r>
    </w:p>
    <w:p w:rsidR="009B31B3" w:rsidRPr="009B31B3" w:rsidRDefault="009B31B3" w:rsidP="009B31B3">
      <w:pPr>
        <w:ind w:left="708"/>
        <w:jc w:val="both"/>
        <w:rPr>
          <w:rFonts w:ascii="Arial" w:hAnsi="Arial" w:cs="Arial"/>
          <w:noProof/>
        </w:rPr>
      </w:pPr>
      <w:r w:rsidRPr="009B31B3">
        <w:rPr>
          <w:rFonts w:ascii="Arial" w:hAnsi="Arial" w:cs="Arial"/>
          <w:noProof/>
        </w:rPr>
        <w:t>– u količini, prirodi, agregatnom stanju opasne supstance u poređenju sa podacima</w:t>
      </w:r>
    </w:p>
    <w:p w:rsidR="009B31B3" w:rsidRPr="009B31B3" w:rsidRDefault="009B31B3" w:rsidP="009B31B3">
      <w:pPr>
        <w:jc w:val="both"/>
        <w:rPr>
          <w:b/>
        </w:rPr>
      </w:pPr>
      <w:r w:rsidRPr="009B31B3">
        <w:rPr>
          <w:rFonts w:ascii="Arial" w:hAnsi="Arial" w:cs="Arial"/>
          <w:b/>
          <w:noProof/>
        </w:rPr>
        <w:lastRenderedPageBreak/>
        <w:t>c) u bilo koje drugo vrijeme na inicijativu operatera ili na zahtjev Federalnog ministarstva</w:t>
      </w:r>
    </w:p>
    <w:p w:rsidR="009B31B3" w:rsidRPr="004F4DDA" w:rsidRDefault="009B31B3" w:rsidP="009B31B3">
      <w:pPr>
        <w:pStyle w:val="t-9-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4F4DDA">
        <w:rPr>
          <w:rFonts w:ascii="Arial" w:eastAsiaTheme="minorHAnsi" w:hAnsi="Arial" w:cs="Arial"/>
          <w:noProof/>
          <w:sz w:val="22"/>
          <w:szCs w:val="22"/>
        </w:rPr>
        <w:t>– iz razloga uzimanja u obzir saznanja o novim činjenicama ili novim tehnološkim spoznajama o sigurnosnim pitanjima, uključujući spoznaje koje proizlaze iz analize nesreća ili, u mjeri u kojoj je to moguće, iz izbjegnutih nesreća;</w:t>
      </w:r>
    </w:p>
    <w:p w:rsidR="009B31B3" w:rsidRPr="004F4DDA" w:rsidRDefault="009B31B3" w:rsidP="009B31B3">
      <w:pPr>
        <w:pStyle w:val="t-9-8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eastAsiaTheme="minorHAnsi" w:hAnsi="Arial" w:cs="Arial"/>
          <w:noProof/>
          <w:sz w:val="22"/>
          <w:szCs w:val="22"/>
        </w:rPr>
      </w:pPr>
      <w:r w:rsidRPr="004F4DDA">
        <w:rPr>
          <w:rFonts w:ascii="Arial" w:eastAsiaTheme="minorHAnsi" w:hAnsi="Arial" w:cs="Arial"/>
          <w:noProof/>
          <w:sz w:val="22"/>
          <w:szCs w:val="22"/>
        </w:rPr>
        <w:t xml:space="preserve">– </w:t>
      </w:r>
      <w:r w:rsidRPr="00B87A59">
        <w:rPr>
          <w:rFonts w:ascii="Arial" w:eastAsiaTheme="minorHAnsi" w:hAnsi="Arial" w:cs="Arial"/>
          <w:noProof/>
          <w:sz w:val="22"/>
          <w:szCs w:val="22"/>
          <w:u w:val="single"/>
        </w:rPr>
        <w:t>u slučaju bilo kakvih saznanja i pretpostavki o promjenama u</w:t>
      </w:r>
      <w:r>
        <w:rPr>
          <w:rFonts w:ascii="Arial" w:eastAsiaTheme="minorHAnsi" w:hAnsi="Arial" w:cs="Arial"/>
          <w:noProof/>
          <w:sz w:val="22"/>
          <w:szCs w:val="22"/>
          <w:u w:val="single"/>
        </w:rPr>
        <w:t xml:space="preserve"> </w:t>
      </w:r>
      <w:r w:rsidRPr="00B87A59">
        <w:rPr>
          <w:rFonts w:ascii="Arial" w:eastAsiaTheme="minorHAnsi" w:hAnsi="Arial" w:cs="Arial"/>
          <w:noProof/>
          <w:sz w:val="22"/>
          <w:szCs w:val="22"/>
          <w:u w:val="single"/>
        </w:rPr>
        <w:t xml:space="preserve"> </w:t>
      </w:r>
      <w:r>
        <w:rPr>
          <w:rFonts w:ascii="Arial" w:eastAsiaTheme="minorHAnsi" w:hAnsi="Arial" w:cs="Arial"/>
          <w:noProof/>
          <w:sz w:val="22"/>
          <w:szCs w:val="22"/>
          <w:u w:val="single"/>
        </w:rPr>
        <w:t>s</w:t>
      </w:r>
      <w:r w:rsidRPr="00B87A59">
        <w:rPr>
          <w:rFonts w:ascii="Arial" w:eastAsiaTheme="minorHAnsi" w:hAnsi="Arial" w:cs="Arial"/>
          <w:noProof/>
          <w:sz w:val="22"/>
          <w:szCs w:val="22"/>
          <w:u w:val="single"/>
        </w:rPr>
        <w:t>mislu mogućih bitnih posljedica u vezi sa opasnostima povezanima sa nesrećom većih razmjera.</w:t>
      </w:r>
    </w:p>
    <w:p w:rsidR="009B31B3" w:rsidRDefault="009B31B3" w:rsidP="009B31B3"/>
    <w:p w:rsidR="00C20F26" w:rsidRPr="00C20F26" w:rsidRDefault="00C20F26" w:rsidP="00C20F26">
      <w:pPr>
        <w:rPr>
          <w:rFonts w:ascii="Arial" w:hAnsi="Arial" w:cs="Arial"/>
        </w:rPr>
      </w:pPr>
    </w:p>
    <w:sectPr w:rsidR="00C20F26" w:rsidRPr="00C20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7557"/>
    <w:multiLevelType w:val="multilevel"/>
    <w:tmpl w:val="00A6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70D56"/>
    <w:multiLevelType w:val="multilevel"/>
    <w:tmpl w:val="00A6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11078"/>
    <w:multiLevelType w:val="hybridMultilevel"/>
    <w:tmpl w:val="42B2F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6"/>
    <w:rsid w:val="00093F06"/>
    <w:rsid w:val="001C76F2"/>
    <w:rsid w:val="00253794"/>
    <w:rsid w:val="002620CB"/>
    <w:rsid w:val="003336ED"/>
    <w:rsid w:val="00384FAE"/>
    <w:rsid w:val="003A445A"/>
    <w:rsid w:val="003E322B"/>
    <w:rsid w:val="007D4B32"/>
    <w:rsid w:val="007E720B"/>
    <w:rsid w:val="008C5135"/>
    <w:rsid w:val="009B31B3"/>
    <w:rsid w:val="00BA7D76"/>
    <w:rsid w:val="00C20F26"/>
    <w:rsid w:val="00CB781C"/>
    <w:rsid w:val="00D32D67"/>
    <w:rsid w:val="00E75A16"/>
    <w:rsid w:val="00E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B27D-A011-47E7-A596-3E3A71A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A16"/>
    <w:pPr>
      <w:ind w:left="720"/>
      <w:contextualSpacing/>
    </w:pPr>
    <w:rPr>
      <w:lang w:val="en-US"/>
    </w:rPr>
  </w:style>
  <w:style w:type="paragraph" w:customStyle="1" w:styleId="CharChar1CharChar">
    <w:name w:val="Char Char1 Char Char"/>
    <w:basedOn w:val="Normal"/>
    <w:rsid w:val="00D32D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9B31B3"/>
    <w:pPr>
      <w:spacing w:after="0" w:line="240" w:lineRule="auto"/>
    </w:pPr>
    <w:rPr>
      <w:lang w:val="en-US"/>
    </w:rPr>
  </w:style>
  <w:style w:type="paragraph" w:customStyle="1" w:styleId="t-9-8">
    <w:name w:val="t-9-8"/>
    <w:basedOn w:val="Normal"/>
    <w:rsid w:val="009B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oit.gov.ba/upload/file/Pravilnik%20Sevesso-1-28.pdf" TargetMode="External"/><Relationship Id="rId5" Type="http://schemas.openxmlformats.org/officeDocument/2006/relationships/hyperlink" Target="https://www.fmoit.gov.ba/upload/file/Pravilnik%20Sevesso-1-2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</dc:creator>
  <cp:keywords/>
  <dc:description/>
  <cp:lastModifiedBy>SELMA</cp:lastModifiedBy>
  <cp:revision>4</cp:revision>
  <dcterms:created xsi:type="dcterms:W3CDTF">2023-03-16T08:15:00Z</dcterms:created>
  <dcterms:modified xsi:type="dcterms:W3CDTF">2023-03-16T11:38:00Z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116215f9-60e3-4651-b9b5-5321514d1914</vt:lpwstr>
  </property>
</Properties>
</file>