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AD" w:rsidRPr="007D10E4" w:rsidRDefault="00403EAD" w:rsidP="00403EAD">
      <w:pPr>
        <w:ind w:hanging="57"/>
        <w:jc w:val="center"/>
        <w:rPr>
          <w:rFonts w:ascii="Arial" w:hAnsi="Arial" w:cs="Arial"/>
          <w:b/>
        </w:rPr>
      </w:pPr>
      <w:r w:rsidRPr="007D10E4">
        <w:rPr>
          <w:rFonts w:ascii="Arial" w:hAnsi="Arial" w:cs="Arial"/>
          <w:b/>
        </w:rPr>
        <w:t xml:space="preserve">INFORMACIJA-NERP Nacionalni </w:t>
      </w:r>
      <w:r w:rsidR="002D2000" w:rsidRPr="007D10E4">
        <w:rPr>
          <w:rFonts w:ascii="Arial" w:hAnsi="Arial" w:cs="Arial"/>
          <w:b/>
        </w:rPr>
        <w:t>plan redukcije</w:t>
      </w:r>
      <w:r w:rsidR="002D2000" w:rsidRPr="007D10E4">
        <w:rPr>
          <w:rFonts w:ascii="Arial" w:hAnsi="Arial" w:cs="Arial"/>
          <w:b/>
        </w:rPr>
        <w:t xml:space="preserve"> </w:t>
      </w:r>
      <w:r w:rsidRPr="007D10E4">
        <w:rPr>
          <w:rFonts w:ascii="Arial" w:hAnsi="Arial" w:cs="Arial"/>
          <w:b/>
        </w:rPr>
        <w:t>emisi</w:t>
      </w:r>
      <w:r w:rsidR="002D2000">
        <w:rPr>
          <w:rFonts w:ascii="Arial" w:hAnsi="Arial" w:cs="Arial"/>
          <w:b/>
        </w:rPr>
        <w:t>ja</w:t>
      </w:r>
      <w:r w:rsidRPr="007D10E4">
        <w:rPr>
          <w:rFonts w:ascii="Arial" w:hAnsi="Arial" w:cs="Arial"/>
          <w:b/>
        </w:rPr>
        <w:t>, po obavezama iz Ugovora o energetskoj zajednici, implementacije LCP Direktive 2001/80 o velikim postrojenjima za sagorijevanje</w:t>
      </w:r>
    </w:p>
    <w:p w:rsidR="00403EAD" w:rsidRPr="007D10E4" w:rsidRDefault="00403EAD" w:rsidP="00403EAD">
      <w:pPr>
        <w:ind w:hanging="57"/>
        <w:jc w:val="both"/>
        <w:rPr>
          <w:rFonts w:ascii="Arial" w:hAnsi="Arial" w:cs="Arial"/>
          <w:b/>
        </w:rPr>
      </w:pPr>
    </w:p>
    <w:p w:rsidR="00403EAD" w:rsidRDefault="00403EAD" w:rsidP="00403EAD">
      <w:pPr>
        <w:jc w:val="both"/>
        <w:rPr>
          <w:rFonts w:ascii="Arial" w:hAnsi="Arial" w:cs="Arial"/>
        </w:rPr>
      </w:pPr>
    </w:p>
    <w:p w:rsidR="00403EAD" w:rsidRPr="00F8376F" w:rsidRDefault="00403EAD" w:rsidP="00403EAD">
      <w:pPr>
        <w:jc w:val="both"/>
        <w:rPr>
          <w:rFonts w:ascii="Arial" w:hAnsi="Arial" w:cs="Arial"/>
        </w:rPr>
      </w:pPr>
      <w:r w:rsidRPr="00F8376F">
        <w:rPr>
          <w:rFonts w:ascii="Arial" w:hAnsi="Arial" w:cs="Arial"/>
        </w:rPr>
        <w:t>Kao ugovorna strana Ugovor</w:t>
      </w:r>
      <w:r>
        <w:rPr>
          <w:rFonts w:ascii="Arial" w:hAnsi="Arial" w:cs="Arial"/>
        </w:rPr>
        <w:t>a</w:t>
      </w:r>
      <w:r w:rsidRPr="00F8376F">
        <w:rPr>
          <w:rFonts w:ascii="Arial" w:hAnsi="Arial" w:cs="Arial"/>
        </w:rPr>
        <w:t xml:space="preserve"> o Energetskoj zajednici (UEnZ), Bosna i Hercegovina se obavezala na provedbu Direktive 2001/80/EZ o ograničenju emisije određenih zagađujućih materija u zrak iz velikih postrojenja za sagorijevanje (LCP direktiva), </w:t>
      </w:r>
      <w:r>
        <w:rPr>
          <w:rFonts w:ascii="Arial" w:hAnsi="Arial" w:cs="Arial"/>
        </w:rPr>
        <w:t xml:space="preserve"> </w:t>
      </w:r>
      <w:r w:rsidRPr="00F8376F">
        <w:rPr>
          <w:rFonts w:ascii="Arial" w:hAnsi="Arial" w:cs="Arial"/>
        </w:rPr>
        <w:t>kako je predviđeno članom 16. i Prilogom II Ugovora o Energetskoj zajednici</w:t>
      </w:r>
      <w:r>
        <w:rPr>
          <w:rFonts w:ascii="Arial" w:hAnsi="Arial" w:cs="Arial"/>
        </w:rPr>
        <w:t xml:space="preserve">. Odredbe Ugovora odnose se na LCP postrojenja koji su u sistemu mrežne energije.  </w:t>
      </w:r>
    </w:p>
    <w:p w:rsidR="00403EAD" w:rsidRDefault="00403EAD" w:rsidP="00403EAD">
      <w:pPr>
        <w:jc w:val="both"/>
        <w:rPr>
          <w:rFonts w:ascii="Arial" w:hAnsi="Arial" w:cs="Arial"/>
        </w:rPr>
      </w:pPr>
    </w:p>
    <w:p w:rsidR="00403EAD" w:rsidRPr="00F8376F" w:rsidRDefault="00403EAD" w:rsidP="00403EAD">
      <w:pPr>
        <w:jc w:val="both"/>
        <w:rPr>
          <w:rFonts w:ascii="Arial" w:hAnsi="Arial" w:cs="Arial"/>
        </w:rPr>
      </w:pPr>
      <w:r w:rsidRPr="00F8376F">
        <w:rPr>
          <w:rFonts w:ascii="Arial" w:hAnsi="Arial" w:cs="Arial"/>
        </w:rPr>
        <w:t>Opći cilj Direktive 2001/80/EZ o ograničenju emisije određenih zagađujućih materija u zrak iz velikih postrojenja za sagorijevanje je smanjenje emisija sumpor dioksida (SO</w:t>
      </w:r>
      <w:r w:rsidRPr="00F8376F">
        <w:rPr>
          <w:rFonts w:ascii="Arial" w:hAnsi="Arial" w:cs="Arial"/>
          <w:vertAlign w:val="subscript"/>
        </w:rPr>
        <w:t>2</w:t>
      </w:r>
      <w:r w:rsidRPr="00F8376F">
        <w:rPr>
          <w:rFonts w:ascii="Arial" w:hAnsi="Arial" w:cs="Arial"/>
        </w:rPr>
        <w:t xml:space="preserve">), azotnih oksida (NOx) i prašine (pepela / čvrstih čestica) iz </w:t>
      </w:r>
      <w:r>
        <w:rPr>
          <w:rFonts w:ascii="Arial" w:hAnsi="Arial" w:cs="Arial"/>
        </w:rPr>
        <w:t xml:space="preserve">postrojenja za sagorijevanje </w:t>
      </w:r>
      <w:r w:rsidRPr="00F8376F">
        <w:rPr>
          <w:rFonts w:ascii="Arial" w:hAnsi="Arial" w:cs="Arial"/>
        </w:rPr>
        <w:t>toplotne snage jednake ili veće od 50MWth</w:t>
      </w:r>
      <w:r>
        <w:rPr>
          <w:rFonts w:ascii="Arial" w:hAnsi="Arial" w:cs="Arial"/>
        </w:rPr>
        <w:t>.</w:t>
      </w:r>
    </w:p>
    <w:p w:rsidR="00403EAD" w:rsidRPr="00F8376F" w:rsidRDefault="00403EAD" w:rsidP="00403EAD">
      <w:pPr>
        <w:jc w:val="both"/>
        <w:rPr>
          <w:rFonts w:ascii="Arial" w:hAnsi="Arial" w:cs="Arial"/>
          <w:u w:val="single"/>
        </w:rPr>
      </w:pPr>
    </w:p>
    <w:p w:rsidR="004E13C9" w:rsidRPr="00F8376F" w:rsidRDefault="00403EAD" w:rsidP="004E13C9">
      <w:pPr>
        <w:autoSpaceDE w:val="0"/>
        <w:autoSpaceDN w:val="0"/>
        <w:adjustRightInd w:val="0"/>
        <w:jc w:val="both"/>
        <w:rPr>
          <w:rFonts w:ascii="Arial" w:hAnsi="Arial" w:cs="Arial"/>
        </w:rPr>
      </w:pPr>
      <w:r w:rsidRPr="00F8376F">
        <w:rPr>
          <w:rFonts w:ascii="Arial" w:hAnsi="Arial" w:cs="Arial"/>
        </w:rPr>
        <w:t>Sve strane ugovornice Energetske zajednice su se obavezale da će provesti Direktivu o velikim postrojenjima za sagorijevanje i da će značajno smanjiti emisije iz "postojećih postrojenja"</w:t>
      </w:r>
      <w:r w:rsidR="004E13C9">
        <w:rPr>
          <w:rFonts w:ascii="Arial" w:hAnsi="Arial" w:cs="Arial"/>
        </w:rPr>
        <w:t xml:space="preserve">. </w:t>
      </w:r>
      <w:r w:rsidR="004E13C9" w:rsidRPr="00F8376F">
        <w:rPr>
          <w:rFonts w:ascii="Arial" w:hAnsi="Arial" w:cs="Arial"/>
        </w:rPr>
        <w:t>Kako bi ugovorne strane ispunile uvjete iz Direktive o velikim postrojenjima za sagorijevanje, Ministarsko vijeće Energetske zajednice (MVEnZ) je, na svojoj 11. sjednici održanoj 24. oktobra 2013., usvojilo Odluku - D/2013/05/MC-EnC o provedbi Direktive 2001/80/EZ Evropskog parlamenta i Vijeća od 23. oktobra 2001. o ograničenju emisija određenih zagađujućih materija u zrak iz velikih postrojenjima za sagorijevanje. Ovom odlukom su propisani obavezni rokovi i druge odredbe za sve ugovorne strane, uključujući i Bosnu i Hercegovinu.</w:t>
      </w:r>
    </w:p>
    <w:p w:rsidR="00403EAD" w:rsidRPr="00F8376F" w:rsidRDefault="00403EAD" w:rsidP="00403EAD">
      <w:pPr>
        <w:jc w:val="both"/>
        <w:rPr>
          <w:rFonts w:ascii="Arial" w:hAnsi="Arial" w:cs="Arial"/>
        </w:rPr>
      </w:pPr>
    </w:p>
    <w:p w:rsidR="00403EAD" w:rsidRPr="00F8376F" w:rsidRDefault="00403EAD" w:rsidP="00403EAD">
      <w:pPr>
        <w:jc w:val="both"/>
        <w:rPr>
          <w:rFonts w:ascii="Arial" w:hAnsi="Arial" w:cs="Arial"/>
        </w:rPr>
      </w:pPr>
      <w:r w:rsidRPr="00F8376F">
        <w:rPr>
          <w:rFonts w:ascii="Arial" w:hAnsi="Arial" w:cs="Arial"/>
        </w:rPr>
        <w:t xml:space="preserve">Bosna i Hercegovina kao zemlja članica Ugovora, obavezna je provesti Direktivu o velikim postrojenjima za sagorijevanje u punom opsegu, vodeći računa o prilagođenim rokovima i odredbama. </w:t>
      </w:r>
    </w:p>
    <w:p w:rsidR="00403EAD" w:rsidRDefault="00403EAD" w:rsidP="00403EAD">
      <w:pPr>
        <w:shd w:val="clear" w:color="auto" w:fill="FFFFFF"/>
        <w:rPr>
          <w:rFonts w:ascii="Arial" w:hAnsi="Arial" w:cs="Arial"/>
          <w:color w:val="000000"/>
          <w:lang w:eastAsia="en-US"/>
        </w:rPr>
      </w:pPr>
    </w:p>
    <w:p w:rsidR="00403EAD" w:rsidRPr="00F8376F" w:rsidRDefault="00403EAD" w:rsidP="00403EAD">
      <w:pPr>
        <w:jc w:val="both"/>
        <w:rPr>
          <w:rFonts w:ascii="Arial" w:hAnsi="Arial" w:cs="Arial"/>
        </w:rPr>
      </w:pPr>
      <w:r w:rsidRPr="00F8376F">
        <w:rPr>
          <w:rFonts w:ascii="Arial" w:hAnsi="Arial" w:cs="Arial"/>
        </w:rPr>
        <w:t xml:space="preserve">Postojeća postrojenja za sagorijevanje mogu ispoštovati zahtjeve Direktive o velikim postrojenjima za sagorijevanje, koji su prilagođeni Odlukom D/2013/05/MC-EnC, na sljedeće načine: </w:t>
      </w:r>
    </w:p>
    <w:p w:rsidR="00403EAD" w:rsidRPr="00F8376F" w:rsidRDefault="00403EAD" w:rsidP="00403EAD">
      <w:pPr>
        <w:jc w:val="both"/>
        <w:rPr>
          <w:rFonts w:ascii="Arial" w:hAnsi="Arial" w:cs="Arial"/>
        </w:rPr>
      </w:pPr>
      <w:r w:rsidRPr="00F8376F">
        <w:rPr>
          <w:rFonts w:ascii="Arial" w:hAnsi="Arial" w:cs="Arial"/>
        </w:rPr>
        <w:t xml:space="preserve">Opcija 1: </w:t>
      </w:r>
      <w:r w:rsidRPr="00F8376F">
        <w:rPr>
          <w:rFonts w:ascii="Arial" w:hAnsi="Arial" w:cs="Arial"/>
        </w:rPr>
        <w:tab/>
        <w:t>Poštivanje graničnih vrijednosti emisije (GVE) (član 4. (3)(a))</w:t>
      </w:r>
    </w:p>
    <w:p w:rsidR="00403EAD" w:rsidRPr="00F8376F" w:rsidRDefault="00403EAD" w:rsidP="00403EAD">
      <w:pPr>
        <w:ind w:left="1418" w:hanging="1418"/>
        <w:jc w:val="both"/>
        <w:rPr>
          <w:rFonts w:ascii="Arial" w:hAnsi="Arial" w:cs="Arial"/>
        </w:rPr>
      </w:pPr>
      <w:r w:rsidRPr="00F8376F">
        <w:rPr>
          <w:rFonts w:ascii="Arial" w:hAnsi="Arial" w:cs="Arial"/>
        </w:rPr>
        <w:t xml:space="preserve">Opcija 2: </w:t>
      </w:r>
      <w:r w:rsidRPr="00F8376F">
        <w:rPr>
          <w:rFonts w:ascii="Arial" w:hAnsi="Arial" w:cs="Arial"/>
        </w:rPr>
        <w:tab/>
        <w:t>Provedba nacionalnog plana redukcije emisija (NERPa) (član 4. (3)(b) i član 4. (6))</w:t>
      </w:r>
    </w:p>
    <w:p w:rsidR="00403EAD" w:rsidRPr="00F8376F" w:rsidRDefault="00403EAD" w:rsidP="00403EAD">
      <w:pPr>
        <w:jc w:val="both"/>
        <w:rPr>
          <w:rFonts w:ascii="Arial" w:hAnsi="Arial" w:cs="Arial"/>
        </w:rPr>
      </w:pPr>
      <w:r w:rsidRPr="00F8376F">
        <w:rPr>
          <w:rFonts w:ascii="Arial" w:hAnsi="Arial" w:cs="Arial"/>
        </w:rPr>
        <w:t xml:space="preserve">Opcija 3: </w:t>
      </w:r>
      <w:r w:rsidRPr="00F8376F">
        <w:rPr>
          <w:rFonts w:ascii="Arial" w:hAnsi="Arial" w:cs="Arial"/>
        </w:rPr>
        <w:tab/>
        <w:t>Opcija ograničenog operativnog vijeka postrojenja (eng. opt-out) (član 4.(4))</w:t>
      </w:r>
    </w:p>
    <w:p w:rsidR="00403EAD" w:rsidRDefault="00403EAD" w:rsidP="00403EAD">
      <w:pPr>
        <w:shd w:val="clear" w:color="auto" w:fill="FFFFFF"/>
        <w:jc w:val="both"/>
        <w:rPr>
          <w:rFonts w:ascii="Arial" w:hAnsi="Arial" w:cs="Arial"/>
          <w:b/>
          <w:color w:val="000000"/>
          <w:lang w:eastAsia="en-US"/>
        </w:rPr>
      </w:pPr>
    </w:p>
    <w:p w:rsidR="00403EAD" w:rsidRPr="00EB44C5" w:rsidRDefault="00403EAD" w:rsidP="00403EAD">
      <w:pPr>
        <w:shd w:val="clear" w:color="auto" w:fill="FFFFFF"/>
        <w:jc w:val="both"/>
        <w:rPr>
          <w:rFonts w:ascii="Arial" w:hAnsi="Arial" w:cs="Arial"/>
          <w:b/>
          <w:color w:val="000000"/>
          <w:lang w:eastAsia="en-US"/>
        </w:rPr>
      </w:pPr>
      <w:r w:rsidRPr="00EB44C5">
        <w:rPr>
          <w:rFonts w:ascii="Arial" w:hAnsi="Arial" w:cs="Arial"/>
          <w:b/>
          <w:color w:val="000000"/>
          <w:lang w:eastAsia="en-US"/>
        </w:rPr>
        <w:t xml:space="preserve">Direktivom o velikim postrojenjima za sagorijevanje državama je ponuđeno da izaberu da li će smanjiti emisije do 2018. godine, ograničiti broj radnih sati i vijek trajanja postrojenja ili će napraviti nacionalni plan za postepeno smanjenje emisija </w:t>
      </w:r>
      <w:r>
        <w:rPr>
          <w:rFonts w:ascii="Arial" w:hAnsi="Arial" w:cs="Arial"/>
          <w:b/>
          <w:color w:val="000000"/>
          <w:lang w:eastAsia="en-US"/>
        </w:rPr>
        <w:t xml:space="preserve">(NERP) </w:t>
      </w:r>
      <w:r w:rsidRPr="00EB44C5">
        <w:rPr>
          <w:rFonts w:ascii="Arial" w:hAnsi="Arial" w:cs="Arial"/>
          <w:b/>
          <w:color w:val="000000"/>
          <w:lang w:eastAsia="en-US"/>
        </w:rPr>
        <w:t>u dužem vremenskom periodu.</w:t>
      </w:r>
      <w:r>
        <w:rPr>
          <w:rFonts w:ascii="Arial" w:hAnsi="Arial" w:cs="Arial"/>
          <w:b/>
          <w:color w:val="000000"/>
          <w:lang w:eastAsia="en-US"/>
        </w:rPr>
        <w:t xml:space="preserve"> </w:t>
      </w:r>
      <w:r w:rsidRPr="00EB44C5">
        <w:rPr>
          <w:rFonts w:ascii="Arial" w:hAnsi="Arial" w:cs="Arial"/>
          <w:b/>
          <w:color w:val="000000"/>
          <w:lang w:eastAsia="en-US"/>
        </w:rPr>
        <w:t>BiH je prihvatila opciju</w:t>
      </w:r>
      <w:r>
        <w:rPr>
          <w:rFonts w:ascii="Arial" w:hAnsi="Arial" w:cs="Arial"/>
          <w:b/>
          <w:color w:val="000000"/>
          <w:lang w:eastAsia="en-US"/>
        </w:rPr>
        <w:t xml:space="preserve"> NERP-</w:t>
      </w:r>
      <w:r w:rsidR="001C586F">
        <w:rPr>
          <w:rFonts w:ascii="Arial" w:hAnsi="Arial" w:cs="Arial"/>
          <w:b/>
          <w:color w:val="000000"/>
          <w:lang w:eastAsia="en-US"/>
        </w:rPr>
        <w:t>a</w:t>
      </w:r>
      <w:r>
        <w:rPr>
          <w:rFonts w:ascii="Arial" w:hAnsi="Arial" w:cs="Arial"/>
          <w:b/>
          <w:color w:val="000000"/>
          <w:lang w:eastAsia="en-US"/>
        </w:rPr>
        <w:t xml:space="preserve"> </w:t>
      </w:r>
      <w:r w:rsidR="001C586F">
        <w:rPr>
          <w:rFonts w:ascii="Arial" w:hAnsi="Arial" w:cs="Arial"/>
          <w:b/>
          <w:color w:val="000000"/>
          <w:lang w:eastAsia="en-US"/>
        </w:rPr>
        <w:t xml:space="preserve">sa </w:t>
      </w:r>
      <w:r>
        <w:rPr>
          <w:rFonts w:ascii="Arial" w:hAnsi="Arial" w:cs="Arial"/>
          <w:b/>
          <w:color w:val="000000"/>
          <w:lang w:eastAsia="en-US"/>
        </w:rPr>
        <w:t>definisanje</w:t>
      </w:r>
      <w:r w:rsidR="001C586F">
        <w:rPr>
          <w:rFonts w:ascii="Arial" w:hAnsi="Arial" w:cs="Arial"/>
          <w:b/>
          <w:color w:val="000000"/>
          <w:lang w:eastAsia="en-US"/>
        </w:rPr>
        <w:t>m</w:t>
      </w:r>
      <w:r>
        <w:rPr>
          <w:rFonts w:ascii="Arial" w:hAnsi="Arial" w:cs="Arial"/>
          <w:b/>
          <w:color w:val="000000"/>
          <w:lang w:eastAsia="en-US"/>
        </w:rPr>
        <w:t xml:space="preserve"> opt-out postrojenja sa ograničavanjem broja radnih sati </w:t>
      </w:r>
      <w:r w:rsidRPr="00EB44C5">
        <w:rPr>
          <w:rFonts w:ascii="Arial" w:hAnsi="Arial" w:cs="Arial"/>
          <w:b/>
          <w:color w:val="000000"/>
          <w:lang w:eastAsia="en-US"/>
        </w:rPr>
        <w:t>.</w:t>
      </w:r>
    </w:p>
    <w:p w:rsidR="00403EAD" w:rsidRPr="00F8376F" w:rsidRDefault="00403EAD" w:rsidP="00403EAD">
      <w:pPr>
        <w:autoSpaceDE w:val="0"/>
        <w:autoSpaceDN w:val="0"/>
        <w:adjustRightInd w:val="0"/>
        <w:jc w:val="both"/>
        <w:rPr>
          <w:rFonts w:ascii="Arial" w:hAnsi="Arial" w:cs="Arial"/>
        </w:rPr>
      </w:pPr>
    </w:p>
    <w:p w:rsidR="00E95E67" w:rsidRPr="00E95E67" w:rsidRDefault="00E95E67" w:rsidP="00E95E67">
      <w:pPr>
        <w:spacing w:before="120"/>
        <w:jc w:val="both"/>
        <w:rPr>
          <w:rFonts w:ascii="Arial" w:hAnsi="Arial" w:cs="Arial"/>
          <w:noProof/>
          <w:lang w:val="en-US"/>
        </w:rPr>
      </w:pPr>
      <w:r w:rsidRPr="00E95E67">
        <w:rPr>
          <w:rFonts w:ascii="Arial" w:hAnsi="Arial" w:cs="Arial"/>
          <w:noProof/>
          <w:lang w:val="en-US"/>
        </w:rPr>
        <w:t>U skladu sa pomenutom Odlukom Vijeća Ministara Energetske zajednice, NERP će se koristiti u period od 01.01.2018.-31.12.2027. godine. Na kraju navedenog perioda trajanja NERP-a, postrojenja koja ostaju u radu nakon ovog perioda će morati biti usklađena sa GVE datim</w:t>
      </w:r>
      <w:r w:rsidR="008C08BD">
        <w:rPr>
          <w:rFonts w:ascii="Arial" w:hAnsi="Arial" w:cs="Arial"/>
          <w:noProof/>
          <w:lang w:val="en-US"/>
        </w:rPr>
        <w:t xml:space="preserve"> </w:t>
      </w:r>
      <w:r w:rsidRPr="00E95E67">
        <w:rPr>
          <w:rFonts w:ascii="Arial" w:hAnsi="Arial" w:cs="Arial"/>
          <w:noProof/>
          <w:lang w:val="en-US"/>
        </w:rPr>
        <w:t xml:space="preserve">u dijelu 1 Aneksa V Direktive 2010/75/EU o industrijskim emisijama (tzv. IED)  ili gdje je primjenljivo na bazi stope odsumporavanja propisane </w:t>
      </w:r>
      <w:r w:rsidRPr="00E95E67">
        <w:rPr>
          <w:rFonts w:ascii="Arial" w:hAnsi="Arial" w:cs="Arial"/>
          <w:noProof/>
          <w:lang w:val="en-US"/>
        </w:rPr>
        <w:lastRenderedPageBreak/>
        <w:t>ovom direktivom, za postrojenja toplotne snage preko 300-500 MW GVE: SO</w:t>
      </w:r>
      <w:r w:rsidRPr="00E95E67">
        <w:rPr>
          <w:rFonts w:ascii="Arial" w:hAnsi="Arial" w:cs="Arial"/>
          <w:noProof/>
          <w:vertAlign w:val="subscript"/>
          <w:lang w:val="en-US"/>
        </w:rPr>
        <w:t>2</w:t>
      </w:r>
      <w:r w:rsidRPr="00E95E67">
        <w:rPr>
          <w:rFonts w:ascii="Arial" w:hAnsi="Arial" w:cs="Arial"/>
          <w:noProof/>
          <w:lang w:val="en-US"/>
        </w:rPr>
        <w:t xml:space="preserve"> -200 mg/m </w:t>
      </w:r>
      <w:r w:rsidRPr="00E95E67">
        <w:rPr>
          <w:rFonts w:ascii="Arial" w:hAnsi="Arial" w:cs="Arial"/>
          <w:noProof/>
          <w:vertAlign w:val="subscript"/>
          <w:lang w:val="en-US"/>
        </w:rPr>
        <w:t>n</w:t>
      </w:r>
      <w:r w:rsidRPr="00E95E67">
        <w:rPr>
          <w:rFonts w:ascii="Arial" w:hAnsi="Arial" w:cs="Arial"/>
          <w:noProof/>
          <w:vertAlign w:val="superscript"/>
          <w:lang w:val="en-US"/>
        </w:rPr>
        <w:t xml:space="preserve">3 </w:t>
      </w:r>
      <w:r w:rsidRPr="00E95E67">
        <w:rPr>
          <w:rFonts w:ascii="Arial" w:hAnsi="Arial" w:cs="Arial"/>
          <w:noProof/>
          <w:lang w:val="en-US"/>
        </w:rPr>
        <w:t xml:space="preserve">, ili gdje je primjenljivo stopa odsumporavanja 96%, NOx -200 mg/ m </w:t>
      </w:r>
      <w:r w:rsidRPr="00E95E67">
        <w:rPr>
          <w:rFonts w:ascii="Arial" w:hAnsi="Arial" w:cs="Arial"/>
          <w:noProof/>
          <w:vertAlign w:val="subscript"/>
          <w:lang w:val="en-US"/>
        </w:rPr>
        <w:t>n</w:t>
      </w:r>
      <w:r w:rsidRPr="00E95E67">
        <w:rPr>
          <w:rFonts w:ascii="Arial" w:hAnsi="Arial" w:cs="Arial"/>
          <w:noProof/>
          <w:vertAlign w:val="superscript"/>
          <w:lang w:val="en-US"/>
        </w:rPr>
        <w:t>3</w:t>
      </w:r>
      <w:r w:rsidRPr="00E95E67">
        <w:rPr>
          <w:rFonts w:ascii="Arial" w:hAnsi="Arial" w:cs="Arial"/>
          <w:noProof/>
          <w:lang w:val="en-US"/>
        </w:rPr>
        <w:t>, prašina -20 mg/</w:t>
      </w:r>
      <w:r w:rsidRPr="00E95E67">
        <w:rPr>
          <w:rFonts w:ascii="Arial" w:hAnsi="Arial" w:cs="Arial"/>
          <w:noProof/>
          <w:vertAlign w:val="superscript"/>
          <w:lang w:val="en-US"/>
        </w:rPr>
        <w:t xml:space="preserve"> </w:t>
      </w:r>
      <w:r w:rsidRPr="00E95E67">
        <w:rPr>
          <w:rFonts w:ascii="Arial" w:hAnsi="Arial" w:cs="Arial"/>
          <w:noProof/>
          <w:lang w:val="en-US"/>
        </w:rPr>
        <w:t xml:space="preserve">m </w:t>
      </w:r>
      <w:r w:rsidRPr="00E95E67">
        <w:rPr>
          <w:rFonts w:ascii="Arial" w:hAnsi="Arial" w:cs="Arial"/>
          <w:noProof/>
          <w:vertAlign w:val="subscript"/>
          <w:lang w:val="en-US"/>
        </w:rPr>
        <w:t>n</w:t>
      </w:r>
      <w:r w:rsidRPr="00E95E67">
        <w:rPr>
          <w:rFonts w:ascii="Arial" w:hAnsi="Arial" w:cs="Arial"/>
          <w:noProof/>
          <w:vertAlign w:val="superscript"/>
          <w:lang w:val="en-US"/>
        </w:rPr>
        <w:t xml:space="preserve">3 </w:t>
      </w:r>
      <w:r w:rsidRPr="00E95E67">
        <w:rPr>
          <w:rFonts w:ascii="Arial" w:hAnsi="Arial" w:cs="Arial"/>
          <w:noProof/>
          <w:lang w:val="en-US"/>
        </w:rPr>
        <w:t>, svedeno na 6% O</w:t>
      </w:r>
      <w:r w:rsidRPr="00E95E67">
        <w:rPr>
          <w:rFonts w:ascii="Arial" w:hAnsi="Arial" w:cs="Arial"/>
          <w:noProof/>
          <w:vertAlign w:val="subscript"/>
          <w:lang w:val="en-US"/>
        </w:rPr>
        <w:t xml:space="preserve">2 </w:t>
      </w:r>
      <w:r w:rsidRPr="00E95E67">
        <w:rPr>
          <w:rFonts w:ascii="Arial" w:hAnsi="Arial" w:cs="Arial"/>
          <w:noProof/>
          <w:lang w:val="en-US"/>
        </w:rPr>
        <w:t>u dimnim plinovima.</w:t>
      </w:r>
    </w:p>
    <w:p w:rsidR="00E95E67" w:rsidRPr="00E95E67" w:rsidRDefault="00E95E67" w:rsidP="00E95E67">
      <w:pPr>
        <w:spacing w:before="120"/>
        <w:jc w:val="both"/>
        <w:rPr>
          <w:rFonts w:ascii="Arial" w:hAnsi="Arial" w:cs="Arial"/>
          <w:noProof/>
          <w:lang w:val="en-US"/>
        </w:rPr>
      </w:pPr>
      <w:r w:rsidRPr="00E95E67">
        <w:rPr>
          <w:rFonts w:ascii="Arial" w:hAnsi="Arial" w:cs="Arial"/>
          <w:noProof/>
          <w:lang w:val="en-US"/>
        </w:rPr>
        <w:t>Postrojenja koja su definisana kao opt-out  neće raditi više od 20 000 radnih sati u period 01.01.2018. - 31.12.2023. godine.</w:t>
      </w:r>
    </w:p>
    <w:p w:rsidR="00E95E67" w:rsidRDefault="00E95E67" w:rsidP="00403EAD">
      <w:pPr>
        <w:ind w:hanging="57"/>
        <w:jc w:val="both"/>
        <w:rPr>
          <w:rFonts w:ascii="Arial" w:hAnsi="Arial" w:cs="Arial"/>
        </w:rPr>
      </w:pPr>
    </w:p>
    <w:p w:rsidR="00403EAD" w:rsidRPr="00F8376F" w:rsidRDefault="00E95E67" w:rsidP="00403EAD">
      <w:pPr>
        <w:ind w:hanging="57"/>
        <w:jc w:val="both"/>
        <w:rPr>
          <w:rFonts w:ascii="Arial" w:hAnsi="Arial" w:cs="Arial"/>
        </w:rPr>
      </w:pPr>
      <w:r>
        <w:rPr>
          <w:rFonts w:ascii="Arial" w:hAnsi="Arial" w:cs="Arial"/>
        </w:rPr>
        <w:t xml:space="preserve"> </w:t>
      </w:r>
      <w:r w:rsidR="00403EAD" w:rsidRPr="00F8376F">
        <w:rPr>
          <w:rFonts w:ascii="Arial" w:hAnsi="Arial" w:cs="Arial"/>
        </w:rPr>
        <w:t xml:space="preserve">NERP </w:t>
      </w:r>
      <w:r>
        <w:rPr>
          <w:rFonts w:ascii="Arial" w:hAnsi="Arial" w:cs="Arial"/>
        </w:rPr>
        <w:t>za BiH</w:t>
      </w:r>
      <w:r w:rsidR="008C08BD">
        <w:rPr>
          <w:rFonts w:ascii="Arial" w:hAnsi="Arial" w:cs="Arial"/>
        </w:rPr>
        <w:t>,</w:t>
      </w:r>
      <w:r>
        <w:rPr>
          <w:rFonts w:ascii="Arial" w:hAnsi="Arial" w:cs="Arial"/>
        </w:rPr>
        <w:t xml:space="preserve"> </w:t>
      </w:r>
      <w:r w:rsidR="008C08BD">
        <w:rPr>
          <w:rFonts w:ascii="Arial" w:hAnsi="Arial" w:cs="Arial"/>
        </w:rPr>
        <w:t xml:space="preserve">u skladu sa naprijed definisanim rokovima, </w:t>
      </w:r>
      <w:r w:rsidR="00403EAD" w:rsidRPr="00F8376F">
        <w:rPr>
          <w:rFonts w:ascii="Arial" w:hAnsi="Arial" w:cs="Arial"/>
        </w:rPr>
        <w:t>daje plan redukcije emisija iz postojećih postrojenja do 2027. godine i isti se  mora</w:t>
      </w:r>
      <w:r w:rsidR="00403EAD">
        <w:rPr>
          <w:rFonts w:ascii="Arial" w:hAnsi="Arial" w:cs="Arial"/>
        </w:rPr>
        <w:t>o</w:t>
      </w:r>
      <w:r w:rsidR="00403EAD" w:rsidRPr="00F8376F">
        <w:rPr>
          <w:rFonts w:ascii="Arial" w:hAnsi="Arial" w:cs="Arial"/>
        </w:rPr>
        <w:t xml:space="preserve"> dostaviti na adresu Sekretarijata Energetske zajednice do kraja 2015. godine</w:t>
      </w:r>
      <w:r>
        <w:rPr>
          <w:rFonts w:ascii="Arial" w:hAnsi="Arial" w:cs="Arial"/>
        </w:rPr>
        <w:t>,</w:t>
      </w:r>
      <w:r w:rsidR="00403EAD" w:rsidRPr="00F8376F">
        <w:rPr>
          <w:rFonts w:ascii="Arial" w:hAnsi="Arial" w:cs="Arial"/>
        </w:rPr>
        <w:t xml:space="preserve"> kao i izjava operatora o tome koja postrojenja idu na opt-out opciju tj. rad sa smanjenim brojem radnih sati (20.000 sati) u periodu do 2023. godine.</w:t>
      </w:r>
    </w:p>
    <w:p w:rsidR="00403EAD" w:rsidRPr="00F8376F" w:rsidRDefault="00403EAD" w:rsidP="00403EAD">
      <w:pPr>
        <w:ind w:hanging="57"/>
        <w:jc w:val="both"/>
        <w:rPr>
          <w:rFonts w:ascii="Arial" w:hAnsi="Arial" w:cs="Arial"/>
        </w:rPr>
      </w:pPr>
    </w:p>
    <w:p w:rsidR="00403EAD" w:rsidRPr="00F8376F" w:rsidRDefault="00403EAD" w:rsidP="00403EAD">
      <w:pPr>
        <w:ind w:hanging="57"/>
        <w:jc w:val="both"/>
        <w:rPr>
          <w:rFonts w:ascii="Arial" w:hAnsi="Arial" w:cs="Arial"/>
        </w:rPr>
      </w:pPr>
      <w:r w:rsidRPr="00F8376F">
        <w:rPr>
          <w:rFonts w:ascii="Arial" w:hAnsi="Arial" w:cs="Arial"/>
        </w:rPr>
        <w:t xml:space="preserve"> Dokumenat NERP</w:t>
      </w:r>
      <w:r w:rsidR="00E95E67">
        <w:rPr>
          <w:rFonts w:ascii="Arial" w:hAnsi="Arial" w:cs="Arial"/>
        </w:rPr>
        <w:t>-</w:t>
      </w:r>
      <w:r w:rsidRPr="00F8376F">
        <w:rPr>
          <w:rFonts w:ascii="Arial" w:hAnsi="Arial" w:cs="Arial"/>
        </w:rPr>
        <w:t>a je urađen od strane USAID EIA projekta uz koordinaciju Ministarstva vanjske trgovine i ekonomskih odnosa BiH</w:t>
      </w:r>
      <w:r>
        <w:rPr>
          <w:rFonts w:ascii="Arial" w:hAnsi="Arial" w:cs="Arial"/>
        </w:rPr>
        <w:t xml:space="preserve">, usvojen od strane Vijeća ministara </w:t>
      </w:r>
      <w:r w:rsidR="00E95E67">
        <w:rPr>
          <w:rFonts w:ascii="Arial" w:hAnsi="Arial" w:cs="Arial"/>
        </w:rPr>
        <w:t>i</w:t>
      </w:r>
      <w:r>
        <w:rPr>
          <w:rFonts w:ascii="Arial" w:hAnsi="Arial" w:cs="Arial"/>
        </w:rPr>
        <w:t xml:space="preserve"> isti je odobren od strane </w:t>
      </w:r>
      <w:r w:rsidRPr="00F8376F">
        <w:rPr>
          <w:rFonts w:ascii="Arial" w:hAnsi="Arial" w:cs="Arial"/>
        </w:rPr>
        <w:t xml:space="preserve">Sekretarijata Energetske zajednice (kraj 2016.) Ovaj dokumenat predstavlja pregovaračko stajalište BiH sa argumentacijom. </w:t>
      </w:r>
    </w:p>
    <w:p w:rsidR="00403EAD" w:rsidRPr="00F8376F" w:rsidRDefault="00403EAD" w:rsidP="00403EAD">
      <w:pPr>
        <w:ind w:hanging="57"/>
        <w:jc w:val="both"/>
        <w:rPr>
          <w:rFonts w:ascii="Arial" w:hAnsi="Arial" w:cs="Arial"/>
        </w:rPr>
      </w:pPr>
    </w:p>
    <w:p w:rsidR="00403EAD" w:rsidRPr="00F8376F" w:rsidRDefault="00403EAD" w:rsidP="00403EAD">
      <w:pPr>
        <w:ind w:hanging="57"/>
        <w:jc w:val="both"/>
        <w:rPr>
          <w:rFonts w:ascii="Arial" w:hAnsi="Arial" w:cs="Arial"/>
        </w:rPr>
      </w:pPr>
      <w:r w:rsidRPr="00F8376F">
        <w:rPr>
          <w:rFonts w:ascii="Arial" w:hAnsi="Arial" w:cs="Arial"/>
        </w:rPr>
        <w:t xml:space="preserve"> </w:t>
      </w:r>
      <w:r w:rsidR="009E4A0F">
        <w:rPr>
          <w:rFonts w:ascii="Arial" w:hAnsi="Arial" w:cs="Arial"/>
        </w:rPr>
        <w:t xml:space="preserve">BiH izvještava o implementaciji NERP-a kroz neformalni mehanizam putem Ministarstva vanjske trgovine </w:t>
      </w:r>
      <w:r w:rsidR="00E95E67">
        <w:rPr>
          <w:rFonts w:ascii="Arial" w:hAnsi="Arial" w:cs="Arial"/>
        </w:rPr>
        <w:t>i</w:t>
      </w:r>
      <w:r w:rsidR="009E4A0F">
        <w:rPr>
          <w:rFonts w:ascii="Arial" w:hAnsi="Arial" w:cs="Arial"/>
        </w:rPr>
        <w:t xml:space="preserve"> ekonomskih odnosa BiH. Izvještaji o implementaciji NERP</w:t>
      </w:r>
      <w:r w:rsidR="00E95E67">
        <w:rPr>
          <w:rFonts w:ascii="Arial" w:hAnsi="Arial" w:cs="Arial"/>
        </w:rPr>
        <w:t>-</w:t>
      </w:r>
      <w:r w:rsidR="009E4A0F">
        <w:rPr>
          <w:rFonts w:ascii="Arial" w:hAnsi="Arial" w:cs="Arial"/>
        </w:rPr>
        <w:t xml:space="preserve">a dostavljaju se </w:t>
      </w:r>
      <w:r w:rsidR="00E95E67">
        <w:rPr>
          <w:rFonts w:ascii="Arial" w:hAnsi="Arial" w:cs="Arial"/>
        </w:rPr>
        <w:t xml:space="preserve">Sekretarijatu EnZ kao I </w:t>
      </w:r>
      <w:r w:rsidR="009E4A0F">
        <w:rPr>
          <w:rFonts w:ascii="Arial" w:hAnsi="Arial" w:cs="Arial"/>
        </w:rPr>
        <w:t>Evropskoj agenciji za okoliš (EEA) sa sjedištem u Kopenhagenu</w:t>
      </w:r>
    </w:p>
    <w:p w:rsidR="00A72196" w:rsidRDefault="00A41F5A"/>
    <w:p w:rsidR="008C08BD" w:rsidRPr="008C08BD" w:rsidRDefault="008C08BD" w:rsidP="008C08BD">
      <w:pPr>
        <w:spacing w:line="276" w:lineRule="auto"/>
        <w:jc w:val="both"/>
        <w:rPr>
          <w:rFonts w:ascii="Arial" w:eastAsia="Calibri" w:hAnsi="Arial" w:cs="Arial"/>
          <w:lang w:val="hr-BA" w:eastAsia="en-US"/>
        </w:rPr>
      </w:pPr>
      <w:r w:rsidRPr="008C08BD">
        <w:rPr>
          <w:rFonts w:ascii="Arial" w:hAnsi="Arial" w:cs="Arial"/>
        </w:rPr>
        <w:t xml:space="preserve">Sekretarijat EnZ je </w:t>
      </w:r>
      <w:r>
        <w:rPr>
          <w:rFonts w:ascii="Arial" w:hAnsi="Arial" w:cs="Arial"/>
        </w:rPr>
        <w:t xml:space="preserve">Bosni I Hercegovini </w:t>
      </w:r>
      <w:r w:rsidRPr="008C08BD">
        <w:rPr>
          <w:rFonts w:ascii="Arial" w:hAnsi="Arial" w:cs="Arial"/>
        </w:rPr>
        <w:t>do</w:t>
      </w:r>
      <w:r>
        <w:rPr>
          <w:rFonts w:ascii="Arial" w:hAnsi="Arial" w:cs="Arial"/>
        </w:rPr>
        <w:t>s</w:t>
      </w:r>
      <w:r w:rsidRPr="008C08BD">
        <w:rPr>
          <w:rFonts w:ascii="Arial" w:hAnsi="Arial" w:cs="Arial"/>
        </w:rPr>
        <w:t>t</w:t>
      </w:r>
      <w:r>
        <w:rPr>
          <w:rFonts w:ascii="Arial" w:hAnsi="Arial" w:cs="Arial"/>
        </w:rPr>
        <w:t>a</w:t>
      </w:r>
      <w:r w:rsidRPr="008C08BD">
        <w:rPr>
          <w:rFonts w:ascii="Arial" w:hAnsi="Arial" w:cs="Arial"/>
        </w:rPr>
        <w:t xml:space="preserve">vio Otvoreno pismo o </w:t>
      </w:r>
      <w:r w:rsidRPr="001C586F">
        <w:rPr>
          <w:rFonts w:ascii="Arial" w:hAnsi="Arial" w:cs="Arial"/>
        </w:rPr>
        <w:t>provođenju Direktive o velikim postrojenjima za sagorijevanje.</w:t>
      </w:r>
      <w:r w:rsidRPr="001C586F">
        <w:rPr>
          <w:rFonts w:ascii="Arial" w:eastAsia="Calibri" w:hAnsi="Arial" w:cs="Arial"/>
          <w:lang w:val="hr-BA" w:eastAsia="en-US"/>
        </w:rPr>
        <w:t xml:space="preserve"> </w:t>
      </w:r>
      <w:r w:rsidRPr="008C08BD">
        <w:rPr>
          <w:rFonts w:ascii="Arial" w:eastAsia="Calibri" w:hAnsi="Arial" w:cs="Arial"/>
          <w:lang w:val="hr-BA" w:eastAsia="en-US"/>
        </w:rPr>
        <w:t xml:space="preserve">Otvorenim pismom (eng. Opening letter in case ECS-9/21) Sekretarijata  Energetske zajednice pokreće se postupak za rješavanje sporova protiv Bosne i Hercegovine zbog nepoštivanja Ugovora o osnivanju Energetske zajednice, posebno čl. 12.,16. i tačke 3. Priloga II,  u vezi sa čl. 4.(3), 4. (6) i 16. Direktive 2001/80 /EZ Evropskog parlamenta i Vijeća od 23.10.2001. godine o ograničenju emisija zagađujućih materija u zrak  iz velikih postrojenja za sagorijevanje. Istim je navedeno da prema Pravilima za rješavanje sporova prema Ugovoru, Sekretarijat može pokrenuti preliminarni postupak protiv strane prije nego zatraži odluku Ministarskog vijeća prema članu 91. Ugovora. Prema članu 13. navedenih Pravila za rješavanje sporova  takav se postupak pokreće Otvorenim pismom. </w:t>
      </w:r>
    </w:p>
    <w:p w:rsidR="001C586F" w:rsidRDefault="001C586F">
      <w:pPr>
        <w:rPr>
          <w:rFonts w:ascii="Arial" w:hAnsi="Arial" w:cs="Arial"/>
          <w:b/>
          <w:u w:val="single"/>
        </w:rPr>
      </w:pPr>
    </w:p>
    <w:p w:rsidR="008C08BD" w:rsidRPr="001C586F" w:rsidRDefault="008C08BD" w:rsidP="001C586F">
      <w:pPr>
        <w:jc w:val="both"/>
        <w:rPr>
          <w:rFonts w:ascii="Arial" w:hAnsi="Arial" w:cs="Arial"/>
          <w:b/>
          <w:u w:val="single"/>
        </w:rPr>
      </w:pPr>
      <w:r w:rsidRPr="001C586F">
        <w:rPr>
          <w:rFonts w:ascii="Arial" w:hAnsi="Arial" w:cs="Arial"/>
          <w:b/>
          <w:u w:val="single"/>
        </w:rPr>
        <w:t xml:space="preserve">BiH je dala odgovor na navode date u Otvorenom pismo. Stav Sekretarijata EnZ po osnovu datog odgovora od strane BiH nije još donesen. </w:t>
      </w:r>
    </w:p>
    <w:p w:rsidR="001C586F" w:rsidRDefault="001C586F" w:rsidP="001C586F">
      <w:pPr>
        <w:jc w:val="both"/>
        <w:rPr>
          <w:rFonts w:ascii="Arial" w:hAnsi="Arial" w:cs="Arial"/>
          <w:b/>
        </w:rPr>
      </w:pPr>
    </w:p>
    <w:p w:rsidR="00A52DDF" w:rsidRPr="001C586F" w:rsidRDefault="00A52DDF" w:rsidP="00A52DDF">
      <w:pPr>
        <w:spacing w:line="276" w:lineRule="auto"/>
        <w:jc w:val="both"/>
        <w:rPr>
          <w:rFonts w:ascii="Arial" w:hAnsi="Arial" w:cs="Arial"/>
          <w:b/>
          <w:u w:val="single"/>
        </w:rPr>
      </w:pPr>
      <w:r w:rsidRPr="001C586F">
        <w:rPr>
          <w:rFonts w:ascii="Arial" w:hAnsi="Arial" w:cs="Arial"/>
          <w:b/>
          <w:u w:val="single"/>
        </w:rPr>
        <w:t xml:space="preserve">Emisije SO2, NOx i prašine za operatore sa područja BiH koji su u NERP-u: </w:t>
      </w:r>
    </w:p>
    <w:p w:rsidR="00A52DDF" w:rsidRPr="00A52DDF" w:rsidRDefault="00A52DDF" w:rsidP="00A52DDF">
      <w:pPr>
        <w:spacing w:line="256" w:lineRule="auto"/>
        <w:ind w:left="57"/>
        <w:jc w:val="center"/>
        <w:rPr>
          <w:rFonts w:ascii="Arial" w:hAnsi="Arial" w:cs="Arial"/>
        </w:rPr>
      </w:pPr>
    </w:p>
    <w:tbl>
      <w:tblPr>
        <w:tblW w:w="9594" w:type="dxa"/>
        <w:tblInd w:w="108" w:type="dxa"/>
        <w:tblCellMar>
          <w:right w:w="43" w:type="dxa"/>
        </w:tblCellMar>
        <w:tblLook w:val="04A0" w:firstRow="1" w:lastRow="0" w:firstColumn="1" w:lastColumn="0" w:noHBand="0" w:noVBand="1"/>
      </w:tblPr>
      <w:tblGrid>
        <w:gridCol w:w="1007"/>
        <w:gridCol w:w="1096"/>
        <w:gridCol w:w="1096"/>
        <w:gridCol w:w="1009"/>
        <w:gridCol w:w="1096"/>
        <w:gridCol w:w="1096"/>
        <w:gridCol w:w="1002"/>
        <w:gridCol w:w="1096"/>
        <w:gridCol w:w="1096"/>
      </w:tblGrid>
      <w:tr w:rsidR="00A52DDF" w:rsidRPr="00A52DDF" w:rsidTr="00153326">
        <w:trPr>
          <w:trHeight w:val="502"/>
        </w:trPr>
        <w:tc>
          <w:tcPr>
            <w:tcW w:w="1007" w:type="dxa"/>
            <w:tcBorders>
              <w:top w:val="single" w:sz="4" w:space="0" w:color="000000"/>
              <w:left w:val="single" w:sz="4" w:space="0" w:color="000000"/>
              <w:bottom w:val="single" w:sz="4" w:space="0" w:color="000000"/>
              <w:right w:val="nil"/>
            </w:tcBorders>
            <w:shd w:val="clear" w:color="auto" w:fill="A6A6A6"/>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A6A6A6"/>
            <w:vAlign w:val="center"/>
          </w:tcPr>
          <w:p w:rsidR="00A52DDF" w:rsidRPr="00A52DDF" w:rsidRDefault="00A52DDF" w:rsidP="00A52DDF">
            <w:pPr>
              <w:spacing w:line="256" w:lineRule="auto"/>
              <w:ind w:left="312"/>
              <w:rPr>
                <w:rFonts w:ascii="Calibri" w:hAnsi="Calibri"/>
                <w:b/>
                <w:sz w:val="22"/>
                <w:szCs w:val="22"/>
              </w:rPr>
            </w:pPr>
          </w:p>
        </w:tc>
        <w:tc>
          <w:tcPr>
            <w:tcW w:w="7491" w:type="dxa"/>
            <w:gridSpan w:val="7"/>
            <w:tcBorders>
              <w:top w:val="single" w:sz="4" w:space="0" w:color="000000"/>
              <w:left w:val="nil"/>
              <w:bottom w:val="single" w:sz="4" w:space="0" w:color="000000"/>
              <w:right w:val="single" w:sz="4" w:space="0" w:color="000000"/>
            </w:tcBorders>
            <w:shd w:val="clear" w:color="auto" w:fill="A6A6A6"/>
          </w:tcPr>
          <w:p w:rsidR="00A52DDF" w:rsidRPr="00A52DDF" w:rsidRDefault="00A52DDF" w:rsidP="00A52DDF">
            <w:pPr>
              <w:spacing w:after="160" w:line="256" w:lineRule="auto"/>
              <w:rPr>
                <w:rFonts w:ascii="Calibri" w:hAnsi="Calibri"/>
                <w:b/>
                <w:sz w:val="22"/>
                <w:szCs w:val="22"/>
              </w:rPr>
            </w:pPr>
            <w:r w:rsidRPr="00A52DDF">
              <w:rPr>
                <w:rFonts w:ascii="Calibri" w:hAnsi="Calibri"/>
                <w:b/>
                <w:sz w:val="22"/>
                <w:szCs w:val="22"/>
              </w:rPr>
              <w:t xml:space="preserve">                                               2018                   </w:t>
            </w:r>
          </w:p>
        </w:tc>
      </w:tr>
      <w:tr w:rsidR="00A52DDF" w:rsidRPr="00A52DDF" w:rsidTr="00153326">
        <w:trPr>
          <w:trHeight w:val="502"/>
        </w:trPr>
        <w:tc>
          <w:tcPr>
            <w:tcW w:w="1007" w:type="dxa"/>
            <w:tcBorders>
              <w:top w:val="single" w:sz="4" w:space="0" w:color="000000"/>
              <w:left w:val="single" w:sz="4" w:space="0" w:color="000000"/>
              <w:bottom w:val="single" w:sz="4" w:space="0" w:color="000000"/>
              <w:right w:val="nil"/>
            </w:tcBorders>
            <w:shd w:val="clear" w:color="auto" w:fill="FFFFFF"/>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FFFFFF"/>
            <w:vAlign w:val="center"/>
            <w:hideMark/>
          </w:tcPr>
          <w:p w:rsidR="00A52DDF" w:rsidRPr="00A52DDF" w:rsidRDefault="00A52DDF" w:rsidP="00A52DDF">
            <w:pPr>
              <w:spacing w:line="256" w:lineRule="auto"/>
              <w:ind w:left="312"/>
              <w:rPr>
                <w:rFonts w:ascii="Calibri" w:hAnsi="Calibri"/>
                <w:sz w:val="22"/>
                <w:szCs w:val="22"/>
              </w:rPr>
            </w:pPr>
            <w:r w:rsidRPr="00A52DDF">
              <w:rPr>
                <w:rFonts w:ascii="Calibri" w:hAnsi="Calibri"/>
                <w:b/>
                <w:sz w:val="22"/>
                <w:szCs w:val="22"/>
              </w:rPr>
              <w:t>SO</w:t>
            </w:r>
            <w:r w:rsidRPr="00A52DDF">
              <w:rPr>
                <w:rFonts w:ascii="Calibri" w:hAnsi="Calibri"/>
                <w:b/>
                <w:sz w:val="22"/>
                <w:szCs w:val="22"/>
                <w:vertAlign w:val="subscript"/>
              </w:rPr>
              <w:t>2</w:t>
            </w:r>
            <w:r w:rsidRPr="00A52DDF">
              <w:rPr>
                <w:rFonts w:ascii="Calibri" w:hAnsi="Calibri"/>
                <w:b/>
                <w:sz w:val="22"/>
                <w:szCs w:val="22"/>
              </w:rPr>
              <w:t xml:space="preserve"> </w:t>
            </w:r>
          </w:p>
        </w:tc>
        <w:tc>
          <w:tcPr>
            <w:tcW w:w="1096" w:type="dxa"/>
            <w:tcBorders>
              <w:top w:val="single" w:sz="4" w:space="0" w:color="000000"/>
              <w:left w:val="nil"/>
              <w:bottom w:val="single" w:sz="4" w:space="0" w:color="000000"/>
              <w:right w:val="single" w:sz="4" w:space="0" w:color="000000"/>
            </w:tcBorders>
            <w:shd w:val="clear" w:color="auto" w:fill="FFFFFF"/>
          </w:tcPr>
          <w:p w:rsidR="00A52DDF" w:rsidRPr="00A52DDF" w:rsidRDefault="00A52DDF" w:rsidP="00A52DDF">
            <w:pPr>
              <w:spacing w:after="160" w:line="256" w:lineRule="auto"/>
              <w:rPr>
                <w:rFonts w:ascii="Calibri" w:hAnsi="Calibri"/>
                <w:sz w:val="22"/>
                <w:szCs w:val="22"/>
              </w:rPr>
            </w:pPr>
          </w:p>
        </w:tc>
        <w:tc>
          <w:tcPr>
            <w:tcW w:w="1009" w:type="dxa"/>
            <w:tcBorders>
              <w:top w:val="single" w:sz="4" w:space="0" w:color="000000"/>
              <w:left w:val="single" w:sz="4" w:space="0" w:color="000000"/>
              <w:bottom w:val="single" w:sz="4" w:space="0" w:color="000000"/>
              <w:right w:val="nil"/>
            </w:tcBorders>
            <w:shd w:val="clear" w:color="auto" w:fill="FFFFFF"/>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FFFFFF"/>
            <w:vAlign w:val="center"/>
            <w:hideMark/>
          </w:tcPr>
          <w:p w:rsidR="00A52DDF" w:rsidRPr="00A52DDF" w:rsidRDefault="00A52DDF" w:rsidP="00A52DDF">
            <w:pPr>
              <w:spacing w:line="256" w:lineRule="auto"/>
              <w:ind w:left="298"/>
              <w:rPr>
                <w:rFonts w:ascii="Calibri" w:hAnsi="Calibri"/>
                <w:sz w:val="22"/>
                <w:szCs w:val="22"/>
              </w:rPr>
            </w:pPr>
            <w:r w:rsidRPr="00A52DDF">
              <w:rPr>
                <w:rFonts w:ascii="Calibri" w:hAnsi="Calibri"/>
                <w:b/>
                <w:sz w:val="22"/>
                <w:szCs w:val="22"/>
              </w:rPr>
              <w:t>NO</w:t>
            </w:r>
            <w:r w:rsidRPr="00A52DDF">
              <w:rPr>
                <w:rFonts w:ascii="Calibri" w:hAnsi="Calibri"/>
                <w:b/>
                <w:sz w:val="22"/>
                <w:szCs w:val="22"/>
                <w:vertAlign w:val="subscript"/>
              </w:rPr>
              <w:t>x</w:t>
            </w:r>
            <w:r w:rsidRPr="00A52DDF">
              <w:rPr>
                <w:rFonts w:ascii="Calibri" w:hAnsi="Calibri"/>
                <w:b/>
                <w:sz w:val="22"/>
                <w:szCs w:val="22"/>
              </w:rPr>
              <w:t xml:space="preserve"> </w:t>
            </w:r>
          </w:p>
        </w:tc>
        <w:tc>
          <w:tcPr>
            <w:tcW w:w="1096" w:type="dxa"/>
            <w:tcBorders>
              <w:top w:val="single" w:sz="4" w:space="0" w:color="000000"/>
              <w:left w:val="nil"/>
              <w:bottom w:val="single" w:sz="4" w:space="0" w:color="000000"/>
              <w:right w:val="single" w:sz="4" w:space="0" w:color="000000"/>
            </w:tcBorders>
            <w:shd w:val="clear" w:color="auto" w:fill="FFFFFF"/>
          </w:tcPr>
          <w:p w:rsidR="00A52DDF" w:rsidRPr="00A52DDF" w:rsidRDefault="00A52DDF" w:rsidP="00A52DDF">
            <w:pPr>
              <w:spacing w:after="160" w:line="256" w:lineRule="auto"/>
              <w:rPr>
                <w:rFonts w:ascii="Calibri" w:hAnsi="Calibri"/>
                <w:sz w:val="22"/>
                <w:szCs w:val="22"/>
              </w:rPr>
            </w:pPr>
          </w:p>
        </w:tc>
        <w:tc>
          <w:tcPr>
            <w:tcW w:w="1002" w:type="dxa"/>
            <w:tcBorders>
              <w:top w:val="single" w:sz="4" w:space="0" w:color="000000"/>
              <w:left w:val="single" w:sz="4" w:space="0" w:color="000000"/>
              <w:bottom w:val="single" w:sz="4" w:space="0" w:color="000000"/>
              <w:right w:val="nil"/>
            </w:tcBorders>
            <w:shd w:val="clear" w:color="auto" w:fill="FFFFFF"/>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FFFFFF"/>
            <w:vAlign w:val="center"/>
            <w:hideMark/>
          </w:tcPr>
          <w:p w:rsidR="00A52DDF" w:rsidRPr="00A52DDF" w:rsidRDefault="00A52DDF" w:rsidP="00A52DDF">
            <w:pPr>
              <w:spacing w:line="256" w:lineRule="auto"/>
              <w:ind w:left="264"/>
              <w:rPr>
                <w:rFonts w:ascii="Calibri" w:hAnsi="Calibri"/>
                <w:sz w:val="22"/>
                <w:szCs w:val="22"/>
              </w:rPr>
            </w:pPr>
            <w:r w:rsidRPr="00A52DDF">
              <w:rPr>
                <w:rFonts w:ascii="Calibri" w:hAnsi="Calibri"/>
                <w:b/>
                <w:sz w:val="22"/>
                <w:szCs w:val="22"/>
              </w:rPr>
              <w:t xml:space="preserve">Prašina </w:t>
            </w:r>
          </w:p>
        </w:tc>
        <w:tc>
          <w:tcPr>
            <w:tcW w:w="1096" w:type="dxa"/>
            <w:tcBorders>
              <w:top w:val="single" w:sz="4" w:space="0" w:color="000000"/>
              <w:left w:val="nil"/>
              <w:bottom w:val="single" w:sz="4" w:space="0" w:color="000000"/>
              <w:right w:val="single" w:sz="4" w:space="0" w:color="000000"/>
            </w:tcBorders>
            <w:shd w:val="clear" w:color="auto" w:fill="FFFFFF"/>
          </w:tcPr>
          <w:p w:rsidR="00A52DDF" w:rsidRPr="00A52DDF" w:rsidRDefault="00A52DDF" w:rsidP="00A52DDF">
            <w:pPr>
              <w:spacing w:after="160" w:line="256" w:lineRule="auto"/>
              <w:rPr>
                <w:rFonts w:ascii="Calibri" w:hAnsi="Calibri"/>
                <w:sz w:val="22"/>
                <w:szCs w:val="22"/>
              </w:rPr>
            </w:pPr>
          </w:p>
        </w:tc>
      </w:tr>
      <w:tr w:rsidR="00A52DDF" w:rsidRPr="00A52DDF" w:rsidTr="00153326">
        <w:trPr>
          <w:trHeight w:val="756"/>
        </w:trPr>
        <w:tc>
          <w:tcPr>
            <w:tcW w:w="10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ind w:left="113"/>
              <w:rPr>
                <w:rFonts w:ascii="Calibri" w:hAnsi="Calibri"/>
                <w:sz w:val="22"/>
                <w:szCs w:val="22"/>
              </w:rPr>
            </w:pPr>
            <w:r w:rsidRPr="00A52DDF">
              <w:rPr>
                <w:rFonts w:ascii="Calibri" w:hAnsi="Calibri"/>
                <w:sz w:val="22"/>
                <w:szCs w:val="22"/>
              </w:rPr>
              <w:t xml:space="preserve">2018 </w:t>
            </w:r>
          </w:p>
          <w:p w:rsidR="00A52DDF" w:rsidRPr="00A52DDF" w:rsidRDefault="00A52DDF" w:rsidP="00A52DDF">
            <w:pPr>
              <w:spacing w:line="256" w:lineRule="auto"/>
              <w:ind w:left="46"/>
              <w:rPr>
                <w:rFonts w:ascii="Calibri" w:hAnsi="Calibri"/>
                <w:sz w:val="22"/>
                <w:szCs w:val="22"/>
              </w:rPr>
            </w:pPr>
            <w:r w:rsidRPr="00A52DDF">
              <w:rPr>
                <w:rFonts w:ascii="Calibri" w:hAnsi="Calibri"/>
                <w:sz w:val="22"/>
                <w:szCs w:val="22"/>
              </w:rPr>
              <w:t xml:space="preserve">g.granica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jc w:val="center"/>
              <w:rPr>
                <w:rFonts w:ascii="Calibri" w:hAnsi="Calibri"/>
                <w:sz w:val="22"/>
                <w:szCs w:val="22"/>
              </w:rPr>
            </w:pPr>
            <w:r w:rsidRPr="00A52DDF">
              <w:rPr>
                <w:rFonts w:ascii="Calibri" w:hAnsi="Calibri"/>
                <w:sz w:val="22"/>
                <w:szCs w:val="22"/>
              </w:rPr>
              <w:t xml:space="preserve">2018 prijavljeno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rPr>
                <w:rFonts w:ascii="Calibri" w:hAnsi="Calibri"/>
                <w:sz w:val="22"/>
                <w:szCs w:val="22"/>
              </w:rPr>
            </w:pPr>
            <w:r w:rsidRPr="00A52DDF">
              <w:rPr>
                <w:rFonts w:ascii="Calibri" w:hAnsi="Calibri"/>
                <w:sz w:val="22"/>
                <w:szCs w:val="22"/>
              </w:rPr>
              <w:t>prijavljeno</w:t>
            </w:r>
          </w:p>
          <w:p w:rsidR="00A52DDF" w:rsidRPr="00A52DDF" w:rsidRDefault="00A52DDF" w:rsidP="00A52DDF">
            <w:pPr>
              <w:spacing w:line="256" w:lineRule="auto"/>
              <w:ind w:right="67"/>
              <w:jc w:val="center"/>
              <w:rPr>
                <w:rFonts w:ascii="Calibri" w:hAnsi="Calibri"/>
                <w:sz w:val="22"/>
                <w:szCs w:val="22"/>
              </w:rPr>
            </w:pPr>
            <w:r w:rsidRPr="00A52DDF">
              <w:rPr>
                <w:rFonts w:ascii="Calibri" w:hAnsi="Calibri"/>
                <w:sz w:val="22"/>
                <w:szCs w:val="22"/>
              </w:rPr>
              <w:t xml:space="preserve">/ g.granica </w:t>
            </w:r>
          </w:p>
        </w:tc>
        <w:tc>
          <w:tcPr>
            <w:tcW w:w="10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ind w:right="67"/>
              <w:jc w:val="center"/>
              <w:rPr>
                <w:rFonts w:ascii="Calibri" w:hAnsi="Calibri"/>
                <w:sz w:val="22"/>
                <w:szCs w:val="22"/>
              </w:rPr>
            </w:pPr>
            <w:r w:rsidRPr="00A52DDF">
              <w:rPr>
                <w:rFonts w:ascii="Calibri" w:hAnsi="Calibri"/>
                <w:sz w:val="22"/>
                <w:szCs w:val="22"/>
              </w:rPr>
              <w:t xml:space="preserve">2018 </w:t>
            </w:r>
          </w:p>
          <w:p w:rsidR="00A52DDF" w:rsidRPr="00A52DDF" w:rsidRDefault="00A52DDF" w:rsidP="00A52DDF">
            <w:pPr>
              <w:spacing w:line="256" w:lineRule="auto"/>
              <w:ind w:left="48"/>
              <w:rPr>
                <w:rFonts w:ascii="Calibri" w:hAnsi="Calibri"/>
                <w:sz w:val="22"/>
                <w:szCs w:val="22"/>
              </w:rPr>
            </w:pPr>
            <w:r w:rsidRPr="00A52DDF">
              <w:rPr>
                <w:rFonts w:ascii="Calibri" w:hAnsi="Calibri"/>
                <w:sz w:val="22"/>
                <w:szCs w:val="22"/>
              </w:rPr>
              <w:t xml:space="preserve">g.granica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jc w:val="center"/>
              <w:rPr>
                <w:rFonts w:ascii="Calibri" w:hAnsi="Calibri"/>
                <w:sz w:val="22"/>
                <w:szCs w:val="22"/>
              </w:rPr>
            </w:pPr>
            <w:r w:rsidRPr="00A52DDF">
              <w:rPr>
                <w:rFonts w:ascii="Calibri" w:hAnsi="Calibri"/>
                <w:sz w:val="22"/>
                <w:szCs w:val="22"/>
              </w:rPr>
              <w:t xml:space="preserve">2018 prijavljeno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rPr>
                <w:rFonts w:ascii="Calibri" w:hAnsi="Calibri"/>
                <w:sz w:val="22"/>
                <w:szCs w:val="22"/>
              </w:rPr>
            </w:pPr>
            <w:r w:rsidRPr="00A52DDF">
              <w:rPr>
                <w:rFonts w:ascii="Calibri" w:hAnsi="Calibri"/>
                <w:sz w:val="22"/>
                <w:szCs w:val="22"/>
              </w:rPr>
              <w:t>prijavljeno</w:t>
            </w:r>
          </w:p>
          <w:p w:rsidR="00A52DDF" w:rsidRPr="00A52DDF" w:rsidRDefault="00A52DDF" w:rsidP="00A52DDF">
            <w:pPr>
              <w:spacing w:line="256" w:lineRule="auto"/>
              <w:ind w:right="64"/>
              <w:jc w:val="center"/>
              <w:rPr>
                <w:rFonts w:ascii="Calibri" w:hAnsi="Calibri"/>
                <w:sz w:val="22"/>
                <w:szCs w:val="22"/>
              </w:rPr>
            </w:pPr>
            <w:r w:rsidRPr="00A52DDF">
              <w:rPr>
                <w:rFonts w:ascii="Calibri" w:hAnsi="Calibri"/>
                <w:sz w:val="22"/>
                <w:szCs w:val="22"/>
              </w:rPr>
              <w:t xml:space="preserve">/ g.granica </w:t>
            </w:r>
          </w:p>
        </w:tc>
        <w:tc>
          <w:tcPr>
            <w:tcW w:w="1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ind w:left="108"/>
              <w:rPr>
                <w:rFonts w:ascii="Calibri" w:hAnsi="Calibri"/>
                <w:sz w:val="22"/>
                <w:szCs w:val="22"/>
              </w:rPr>
            </w:pPr>
            <w:r w:rsidRPr="00A52DDF">
              <w:rPr>
                <w:rFonts w:ascii="Calibri" w:hAnsi="Calibri"/>
                <w:sz w:val="22"/>
                <w:szCs w:val="22"/>
              </w:rPr>
              <w:t xml:space="preserve">2018 </w:t>
            </w:r>
          </w:p>
          <w:p w:rsidR="00A52DDF" w:rsidRPr="00A52DDF" w:rsidRDefault="00A52DDF" w:rsidP="00A52DDF">
            <w:pPr>
              <w:spacing w:line="256" w:lineRule="auto"/>
              <w:ind w:left="41"/>
              <w:rPr>
                <w:rFonts w:ascii="Calibri" w:hAnsi="Calibri"/>
                <w:sz w:val="22"/>
                <w:szCs w:val="22"/>
              </w:rPr>
            </w:pPr>
            <w:r w:rsidRPr="00A52DDF">
              <w:rPr>
                <w:rFonts w:ascii="Calibri" w:hAnsi="Calibri"/>
                <w:sz w:val="22"/>
                <w:szCs w:val="22"/>
              </w:rPr>
              <w:t xml:space="preserve">g.granica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jc w:val="center"/>
              <w:rPr>
                <w:rFonts w:ascii="Calibri" w:hAnsi="Calibri"/>
                <w:sz w:val="22"/>
                <w:szCs w:val="22"/>
              </w:rPr>
            </w:pPr>
            <w:r w:rsidRPr="00A52DDF">
              <w:rPr>
                <w:rFonts w:ascii="Calibri" w:hAnsi="Calibri"/>
                <w:sz w:val="22"/>
                <w:szCs w:val="22"/>
              </w:rPr>
              <w:t xml:space="preserve">2018 prijavljeno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rPr>
                <w:rFonts w:ascii="Calibri" w:hAnsi="Calibri"/>
                <w:sz w:val="22"/>
                <w:szCs w:val="22"/>
              </w:rPr>
            </w:pPr>
            <w:r w:rsidRPr="00A52DDF">
              <w:rPr>
                <w:rFonts w:ascii="Calibri" w:hAnsi="Calibri"/>
                <w:sz w:val="22"/>
                <w:szCs w:val="22"/>
              </w:rPr>
              <w:t>prijavljeno</w:t>
            </w:r>
          </w:p>
          <w:p w:rsidR="00A52DDF" w:rsidRPr="00A52DDF" w:rsidRDefault="00A52DDF" w:rsidP="00A52DDF">
            <w:pPr>
              <w:spacing w:line="256" w:lineRule="auto"/>
              <w:ind w:right="63"/>
              <w:jc w:val="center"/>
              <w:rPr>
                <w:rFonts w:ascii="Calibri" w:hAnsi="Calibri"/>
                <w:sz w:val="22"/>
                <w:szCs w:val="22"/>
              </w:rPr>
            </w:pPr>
            <w:r w:rsidRPr="00A52DDF">
              <w:rPr>
                <w:rFonts w:ascii="Calibri" w:hAnsi="Calibri"/>
                <w:sz w:val="22"/>
                <w:szCs w:val="22"/>
              </w:rPr>
              <w:t xml:space="preserve">/ g.granica </w:t>
            </w:r>
          </w:p>
        </w:tc>
      </w:tr>
      <w:tr w:rsidR="00A52DDF" w:rsidRPr="00A52DDF" w:rsidTr="00153326">
        <w:trPr>
          <w:trHeight w:val="502"/>
        </w:trPr>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22"/>
              <w:rPr>
                <w:rFonts w:ascii="Calibri" w:hAnsi="Calibri"/>
                <w:sz w:val="22"/>
                <w:szCs w:val="22"/>
              </w:rPr>
            </w:pPr>
            <w:r w:rsidRPr="00A52DDF">
              <w:rPr>
                <w:rFonts w:ascii="Calibri" w:hAnsi="Calibri"/>
                <w:sz w:val="22"/>
                <w:szCs w:val="22"/>
              </w:rPr>
              <w:lastRenderedPageBreak/>
              <w:t xml:space="preserve">22,195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22"/>
              <w:rPr>
                <w:rFonts w:ascii="Calibri" w:hAnsi="Calibri"/>
                <w:sz w:val="22"/>
                <w:szCs w:val="22"/>
              </w:rPr>
            </w:pPr>
            <w:r w:rsidRPr="00A52DDF">
              <w:rPr>
                <w:rFonts w:ascii="Calibri" w:hAnsi="Calibri"/>
                <w:sz w:val="22"/>
                <w:szCs w:val="22"/>
              </w:rPr>
              <w:t xml:space="preserve">202,028 </w:t>
            </w:r>
          </w:p>
        </w:tc>
        <w:tc>
          <w:tcPr>
            <w:tcW w:w="10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A52DDF" w:rsidRPr="00A52DDF" w:rsidRDefault="00A52DDF" w:rsidP="00A52DDF">
            <w:pPr>
              <w:spacing w:line="256" w:lineRule="auto"/>
              <w:ind w:right="64"/>
              <w:jc w:val="center"/>
              <w:rPr>
                <w:rFonts w:ascii="Calibri" w:hAnsi="Calibri"/>
                <w:sz w:val="22"/>
                <w:szCs w:val="22"/>
              </w:rPr>
            </w:pPr>
            <w:r w:rsidRPr="00A52DDF">
              <w:rPr>
                <w:rFonts w:ascii="Calibri" w:hAnsi="Calibri"/>
                <w:b/>
                <w:sz w:val="22"/>
                <w:szCs w:val="22"/>
              </w:rPr>
              <w:t xml:space="preserve">9.1 </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24"/>
              <w:rPr>
                <w:rFonts w:ascii="Calibri" w:hAnsi="Calibri"/>
                <w:sz w:val="22"/>
                <w:szCs w:val="22"/>
              </w:rPr>
            </w:pPr>
            <w:r w:rsidRPr="00A52DDF">
              <w:rPr>
                <w:rFonts w:ascii="Calibri" w:hAnsi="Calibri"/>
                <w:sz w:val="22"/>
                <w:szCs w:val="22"/>
              </w:rPr>
              <w:t xml:space="preserve">15,695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74"/>
              <w:rPr>
                <w:rFonts w:ascii="Calibri" w:hAnsi="Calibri"/>
                <w:sz w:val="22"/>
                <w:szCs w:val="22"/>
              </w:rPr>
            </w:pPr>
            <w:r w:rsidRPr="00A52DDF">
              <w:rPr>
                <w:rFonts w:ascii="Calibri" w:hAnsi="Calibri"/>
                <w:sz w:val="22"/>
                <w:szCs w:val="22"/>
              </w:rPr>
              <w:t xml:space="preserve">16,871 </w:t>
            </w:r>
          </w:p>
        </w:tc>
        <w:tc>
          <w:tcPr>
            <w:tcW w:w="10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A52DDF" w:rsidRPr="00A52DDF" w:rsidRDefault="00A52DDF" w:rsidP="00A52DDF">
            <w:pPr>
              <w:spacing w:line="256" w:lineRule="auto"/>
              <w:ind w:right="60"/>
              <w:jc w:val="center"/>
              <w:rPr>
                <w:rFonts w:ascii="Calibri" w:hAnsi="Calibri"/>
                <w:sz w:val="22"/>
                <w:szCs w:val="22"/>
              </w:rPr>
            </w:pPr>
            <w:r w:rsidRPr="00A52DDF">
              <w:rPr>
                <w:rFonts w:ascii="Calibri" w:hAnsi="Calibri"/>
                <w:b/>
                <w:sz w:val="22"/>
                <w:szCs w:val="22"/>
              </w:rPr>
              <w:t xml:space="preserve">1.07 </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77"/>
              <w:rPr>
                <w:rFonts w:ascii="Calibri" w:hAnsi="Calibri"/>
                <w:sz w:val="22"/>
                <w:szCs w:val="22"/>
              </w:rPr>
            </w:pPr>
            <w:r w:rsidRPr="00A52DDF">
              <w:rPr>
                <w:rFonts w:ascii="Calibri" w:hAnsi="Calibri"/>
                <w:sz w:val="22"/>
                <w:szCs w:val="22"/>
              </w:rPr>
              <w:t xml:space="preserve">1,690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right="64"/>
              <w:jc w:val="center"/>
              <w:rPr>
                <w:rFonts w:ascii="Calibri" w:hAnsi="Calibri"/>
                <w:sz w:val="22"/>
                <w:szCs w:val="22"/>
              </w:rPr>
            </w:pPr>
            <w:r w:rsidRPr="00A52DDF">
              <w:rPr>
                <w:rFonts w:ascii="Calibri" w:hAnsi="Calibri"/>
                <w:sz w:val="22"/>
                <w:szCs w:val="22"/>
              </w:rPr>
              <w:t xml:space="preserve">2,093 </w:t>
            </w:r>
          </w:p>
        </w:tc>
        <w:tc>
          <w:tcPr>
            <w:tcW w:w="10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A52DDF" w:rsidRPr="00A52DDF" w:rsidRDefault="00A52DDF" w:rsidP="00A52DDF">
            <w:pPr>
              <w:spacing w:line="256" w:lineRule="auto"/>
              <w:ind w:right="58"/>
              <w:jc w:val="center"/>
              <w:rPr>
                <w:rFonts w:ascii="Calibri" w:hAnsi="Calibri"/>
                <w:sz w:val="22"/>
                <w:szCs w:val="22"/>
              </w:rPr>
            </w:pPr>
            <w:r w:rsidRPr="00A52DDF">
              <w:rPr>
                <w:rFonts w:ascii="Calibri" w:hAnsi="Calibri"/>
                <w:b/>
                <w:sz w:val="22"/>
                <w:szCs w:val="22"/>
              </w:rPr>
              <w:t xml:space="preserve">1.23 </w:t>
            </w:r>
          </w:p>
        </w:tc>
      </w:tr>
    </w:tbl>
    <w:p w:rsidR="00A52DDF" w:rsidRPr="00A52DDF" w:rsidRDefault="00A52DDF" w:rsidP="00A52DDF">
      <w:pPr>
        <w:spacing w:line="256" w:lineRule="auto"/>
        <w:ind w:left="57"/>
        <w:jc w:val="center"/>
      </w:pPr>
    </w:p>
    <w:tbl>
      <w:tblPr>
        <w:tblW w:w="9381" w:type="dxa"/>
        <w:tblInd w:w="108" w:type="dxa"/>
        <w:tblCellMar>
          <w:right w:w="43" w:type="dxa"/>
        </w:tblCellMar>
        <w:tblLook w:val="04A0" w:firstRow="1" w:lastRow="0" w:firstColumn="1" w:lastColumn="0" w:noHBand="0" w:noVBand="1"/>
      </w:tblPr>
      <w:tblGrid>
        <w:gridCol w:w="1007"/>
        <w:gridCol w:w="1096"/>
        <w:gridCol w:w="1096"/>
        <w:gridCol w:w="1009"/>
        <w:gridCol w:w="1096"/>
        <w:gridCol w:w="1096"/>
        <w:gridCol w:w="1002"/>
        <w:gridCol w:w="1096"/>
        <w:gridCol w:w="1096"/>
      </w:tblGrid>
      <w:tr w:rsidR="00A52DDF" w:rsidRPr="00A52DDF" w:rsidTr="00153326">
        <w:trPr>
          <w:trHeight w:val="503"/>
        </w:trPr>
        <w:tc>
          <w:tcPr>
            <w:tcW w:w="794" w:type="dxa"/>
            <w:tcBorders>
              <w:top w:val="single" w:sz="4" w:space="0" w:color="000000"/>
              <w:left w:val="single" w:sz="4" w:space="0" w:color="000000"/>
              <w:bottom w:val="single" w:sz="4" w:space="0" w:color="000000"/>
              <w:right w:val="nil"/>
            </w:tcBorders>
            <w:shd w:val="clear" w:color="auto" w:fill="A6A6A6"/>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A6A6A6"/>
            <w:vAlign w:val="center"/>
          </w:tcPr>
          <w:p w:rsidR="00A52DDF" w:rsidRPr="00A52DDF" w:rsidRDefault="00A52DDF" w:rsidP="00A52DDF">
            <w:pPr>
              <w:spacing w:line="256" w:lineRule="auto"/>
              <w:ind w:left="312"/>
              <w:rPr>
                <w:rFonts w:ascii="Calibri" w:hAnsi="Calibri"/>
                <w:b/>
                <w:sz w:val="22"/>
                <w:szCs w:val="22"/>
              </w:rPr>
            </w:pPr>
          </w:p>
        </w:tc>
        <w:tc>
          <w:tcPr>
            <w:tcW w:w="7491" w:type="dxa"/>
            <w:gridSpan w:val="7"/>
            <w:tcBorders>
              <w:top w:val="single" w:sz="4" w:space="0" w:color="000000"/>
              <w:left w:val="nil"/>
              <w:bottom w:val="single" w:sz="4" w:space="0" w:color="000000"/>
              <w:right w:val="single" w:sz="4" w:space="0" w:color="000000"/>
            </w:tcBorders>
            <w:shd w:val="clear" w:color="auto" w:fill="A6A6A6"/>
          </w:tcPr>
          <w:p w:rsidR="00A52DDF" w:rsidRPr="00A52DDF" w:rsidRDefault="00A52DDF" w:rsidP="00A52DDF">
            <w:pPr>
              <w:spacing w:after="160" w:line="256" w:lineRule="auto"/>
              <w:rPr>
                <w:rFonts w:ascii="Calibri" w:hAnsi="Calibri"/>
                <w:b/>
                <w:sz w:val="22"/>
                <w:szCs w:val="22"/>
              </w:rPr>
            </w:pPr>
            <w:r w:rsidRPr="00A52DDF">
              <w:rPr>
                <w:rFonts w:ascii="Calibri" w:hAnsi="Calibri"/>
                <w:sz w:val="22"/>
                <w:szCs w:val="22"/>
              </w:rPr>
              <w:t xml:space="preserve">                                              </w:t>
            </w:r>
            <w:r w:rsidRPr="00A52DDF">
              <w:rPr>
                <w:rFonts w:ascii="Calibri" w:hAnsi="Calibri"/>
                <w:b/>
                <w:sz w:val="22"/>
                <w:szCs w:val="22"/>
              </w:rPr>
              <w:t>2019</w:t>
            </w:r>
          </w:p>
        </w:tc>
      </w:tr>
      <w:tr w:rsidR="00A52DDF" w:rsidRPr="00A52DDF" w:rsidTr="00153326">
        <w:trPr>
          <w:trHeight w:val="503"/>
        </w:trPr>
        <w:tc>
          <w:tcPr>
            <w:tcW w:w="794" w:type="dxa"/>
            <w:tcBorders>
              <w:top w:val="single" w:sz="4" w:space="0" w:color="000000"/>
              <w:left w:val="single" w:sz="4" w:space="0" w:color="000000"/>
              <w:bottom w:val="single" w:sz="4" w:space="0" w:color="000000"/>
              <w:right w:val="nil"/>
            </w:tcBorders>
            <w:shd w:val="clear" w:color="auto" w:fill="FFFFFF"/>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FFFFFF"/>
            <w:vAlign w:val="center"/>
            <w:hideMark/>
          </w:tcPr>
          <w:p w:rsidR="00A52DDF" w:rsidRPr="00A52DDF" w:rsidRDefault="00A52DDF" w:rsidP="00A52DDF">
            <w:pPr>
              <w:spacing w:line="256" w:lineRule="auto"/>
              <w:ind w:left="312"/>
              <w:rPr>
                <w:rFonts w:ascii="Calibri" w:hAnsi="Calibri"/>
                <w:sz w:val="22"/>
                <w:szCs w:val="22"/>
              </w:rPr>
            </w:pPr>
            <w:r w:rsidRPr="00A52DDF">
              <w:rPr>
                <w:rFonts w:ascii="Calibri" w:hAnsi="Calibri"/>
                <w:b/>
                <w:sz w:val="22"/>
                <w:szCs w:val="22"/>
              </w:rPr>
              <w:t>SO</w:t>
            </w:r>
            <w:r w:rsidRPr="00A52DDF">
              <w:rPr>
                <w:rFonts w:ascii="Calibri" w:hAnsi="Calibri"/>
                <w:b/>
                <w:sz w:val="22"/>
                <w:szCs w:val="22"/>
                <w:vertAlign w:val="subscript"/>
              </w:rPr>
              <w:t>2</w:t>
            </w:r>
            <w:r w:rsidRPr="00A52DDF">
              <w:rPr>
                <w:rFonts w:ascii="Calibri" w:hAnsi="Calibri"/>
                <w:b/>
                <w:sz w:val="22"/>
                <w:szCs w:val="22"/>
              </w:rPr>
              <w:t xml:space="preserve"> </w:t>
            </w:r>
          </w:p>
        </w:tc>
        <w:tc>
          <w:tcPr>
            <w:tcW w:w="1096" w:type="dxa"/>
            <w:tcBorders>
              <w:top w:val="single" w:sz="4" w:space="0" w:color="000000"/>
              <w:left w:val="nil"/>
              <w:bottom w:val="single" w:sz="4" w:space="0" w:color="000000"/>
              <w:right w:val="single" w:sz="4" w:space="0" w:color="000000"/>
            </w:tcBorders>
            <w:shd w:val="clear" w:color="auto" w:fill="FFFFFF"/>
          </w:tcPr>
          <w:p w:rsidR="00A52DDF" w:rsidRPr="00A52DDF" w:rsidRDefault="00A52DDF" w:rsidP="00A52DDF">
            <w:pPr>
              <w:spacing w:after="160" w:line="256" w:lineRule="auto"/>
              <w:rPr>
                <w:rFonts w:ascii="Calibri" w:hAnsi="Calibri"/>
                <w:sz w:val="22"/>
                <w:szCs w:val="22"/>
              </w:rPr>
            </w:pPr>
          </w:p>
        </w:tc>
        <w:tc>
          <w:tcPr>
            <w:tcW w:w="1009" w:type="dxa"/>
            <w:tcBorders>
              <w:top w:val="single" w:sz="4" w:space="0" w:color="000000"/>
              <w:left w:val="single" w:sz="4" w:space="0" w:color="000000"/>
              <w:bottom w:val="single" w:sz="4" w:space="0" w:color="000000"/>
              <w:right w:val="nil"/>
            </w:tcBorders>
            <w:shd w:val="clear" w:color="auto" w:fill="FFFFFF"/>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FFFFFF"/>
            <w:vAlign w:val="center"/>
            <w:hideMark/>
          </w:tcPr>
          <w:p w:rsidR="00A52DDF" w:rsidRPr="00A52DDF" w:rsidRDefault="00A52DDF" w:rsidP="00A52DDF">
            <w:pPr>
              <w:spacing w:line="256" w:lineRule="auto"/>
              <w:ind w:left="298"/>
              <w:rPr>
                <w:rFonts w:ascii="Calibri" w:hAnsi="Calibri"/>
                <w:sz w:val="22"/>
                <w:szCs w:val="22"/>
              </w:rPr>
            </w:pPr>
            <w:r w:rsidRPr="00A52DDF">
              <w:rPr>
                <w:rFonts w:ascii="Calibri" w:hAnsi="Calibri"/>
                <w:b/>
                <w:sz w:val="22"/>
                <w:szCs w:val="22"/>
              </w:rPr>
              <w:t>NO</w:t>
            </w:r>
            <w:r w:rsidRPr="00A52DDF">
              <w:rPr>
                <w:rFonts w:ascii="Calibri" w:hAnsi="Calibri"/>
                <w:b/>
                <w:sz w:val="22"/>
                <w:szCs w:val="22"/>
                <w:vertAlign w:val="subscript"/>
              </w:rPr>
              <w:t>x</w:t>
            </w:r>
            <w:r w:rsidRPr="00A52DDF">
              <w:rPr>
                <w:rFonts w:ascii="Calibri" w:hAnsi="Calibri"/>
                <w:b/>
                <w:sz w:val="22"/>
                <w:szCs w:val="22"/>
              </w:rPr>
              <w:t xml:space="preserve"> </w:t>
            </w:r>
          </w:p>
        </w:tc>
        <w:tc>
          <w:tcPr>
            <w:tcW w:w="1096" w:type="dxa"/>
            <w:tcBorders>
              <w:top w:val="single" w:sz="4" w:space="0" w:color="000000"/>
              <w:left w:val="nil"/>
              <w:bottom w:val="single" w:sz="4" w:space="0" w:color="000000"/>
              <w:right w:val="single" w:sz="4" w:space="0" w:color="000000"/>
            </w:tcBorders>
            <w:shd w:val="clear" w:color="auto" w:fill="FFFFFF"/>
          </w:tcPr>
          <w:p w:rsidR="00A52DDF" w:rsidRPr="00A52DDF" w:rsidRDefault="00A52DDF" w:rsidP="00A52DDF">
            <w:pPr>
              <w:spacing w:after="160" w:line="256" w:lineRule="auto"/>
              <w:rPr>
                <w:rFonts w:ascii="Calibri" w:hAnsi="Calibri"/>
                <w:sz w:val="22"/>
                <w:szCs w:val="22"/>
              </w:rPr>
            </w:pPr>
          </w:p>
        </w:tc>
        <w:tc>
          <w:tcPr>
            <w:tcW w:w="1002" w:type="dxa"/>
            <w:tcBorders>
              <w:top w:val="single" w:sz="4" w:space="0" w:color="000000"/>
              <w:left w:val="single" w:sz="4" w:space="0" w:color="000000"/>
              <w:bottom w:val="single" w:sz="4" w:space="0" w:color="000000"/>
              <w:right w:val="nil"/>
            </w:tcBorders>
            <w:shd w:val="clear" w:color="auto" w:fill="FFFFFF"/>
          </w:tcPr>
          <w:p w:rsidR="00A52DDF" w:rsidRPr="00A52DDF" w:rsidRDefault="00A52DDF" w:rsidP="00A52DDF">
            <w:pPr>
              <w:spacing w:after="160" w:line="256" w:lineRule="auto"/>
              <w:rPr>
                <w:rFonts w:ascii="Calibri" w:hAnsi="Calibri"/>
                <w:sz w:val="22"/>
                <w:szCs w:val="22"/>
              </w:rPr>
            </w:pPr>
          </w:p>
        </w:tc>
        <w:tc>
          <w:tcPr>
            <w:tcW w:w="1096" w:type="dxa"/>
            <w:tcBorders>
              <w:top w:val="single" w:sz="4" w:space="0" w:color="000000"/>
              <w:left w:val="nil"/>
              <w:bottom w:val="single" w:sz="4" w:space="0" w:color="000000"/>
              <w:right w:val="nil"/>
            </w:tcBorders>
            <w:shd w:val="clear" w:color="auto" w:fill="FFFFFF"/>
            <w:vAlign w:val="center"/>
            <w:hideMark/>
          </w:tcPr>
          <w:p w:rsidR="00A52DDF" w:rsidRPr="00A52DDF" w:rsidRDefault="00A52DDF" w:rsidP="00A52DDF">
            <w:pPr>
              <w:spacing w:line="256" w:lineRule="auto"/>
              <w:ind w:left="264"/>
              <w:rPr>
                <w:rFonts w:ascii="Calibri" w:hAnsi="Calibri"/>
                <w:sz w:val="22"/>
                <w:szCs w:val="22"/>
              </w:rPr>
            </w:pPr>
            <w:r w:rsidRPr="00A52DDF">
              <w:rPr>
                <w:rFonts w:ascii="Calibri" w:hAnsi="Calibri"/>
                <w:b/>
                <w:sz w:val="22"/>
                <w:szCs w:val="22"/>
              </w:rPr>
              <w:t xml:space="preserve">Prašina </w:t>
            </w:r>
          </w:p>
        </w:tc>
        <w:tc>
          <w:tcPr>
            <w:tcW w:w="1096" w:type="dxa"/>
            <w:tcBorders>
              <w:top w:val="single" w:sz="4" w:space="0" w:color="000000"/>
              <w:left w:val="nil"/>
              <w:bottom w:val="single" w:sz="4" w:space="0" w:color="000000"/>
              <w:right w:val="single" w:sz="4" w:space="0" w:color="000000"/>
            </w:tcBorders>
            <w:shd w:val="clear" w:color="auto" w:fill="FFFFFF"/>
          </w:tcPr>
          <w:p w:rsidR="00A52DDF" w:rsidRPr="00A52DDF" w:rsidRDefault="00A52DDF" w:rsidP="00A52DDF">
            <w:pPr>
              <w:spacing w:after="160" w:line="256" w:lineRule="auto"/>
              <w:rPr>
                <w:rFonts w:ascii="Calibri" w:hAnsi="Calibri"/>
                <w:sz w:val="22"/>
                <w:szCs w:val="22"/>
              </w:rPr>
            </w:pPr>
          </w:p>
        </w:tc>
      </w:tr>
      <w:tr w:rsidR="00A52DDF" w:rsidRPr="00A52DDF" w:rsidTr="00153326">
        <w:trPr>
          <w:trHeight w:val="756"/>
        </w:trPr>
        <w:tc>
          <w:tcPr>
            <w:tcW w:w="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ind w:left="113"/>
              <w:rPr>
                <w:rFonts w:ascii="Calibri" w:hAnsi="Calibri"/>
                <w:sz w:val="22"/>
                <w:szCs w:val="22"/>
              </w:rPr>
            </w:pPr>
            <w:r w:rsidRPr="00A52DDF">
              <w:rPr>
                <w:rFonts w:ascii="Calibri" w:hAnsi="Calibri"/>
                <w:sz w:val="22"/>
                <w:szCs w:val="22"/>
              </w:rPr>
              <w:t xml:space="preserve">2019 </w:t>
            </w:r>
          </w:p>
          <w:p w:rsidR="00A52DDF" w:rsidRPr="00A52DDF" w:rsidRDefault="00A52DDF" w:rsidP="00A52DDF">
            <w:pPr>
              <w:spacing w:line="256" w:lineRule="auto"/>
              <w:ind w:left="46"/>
              <w:rPr>
                <w:rFonts w:ascii="Calibri" w:hAnsi="Calibri"/>
                <w:sz w:val="22"/>
                <w:szCs w:val="22"/>
              </w:rPr>
            </w:pPr>
            <w:r w:rsidRPr="00A52DDF">
              <w:rPr>
                <w:rFonts w:ascii="Calibri" w:hAnsi="Calibri"/>
                <w:sz w:val="22"/>
                <w:szCs w:val="22"/>
              </w:rPr>
              <w:t xml:space="preserve">g.granica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jc w:val="center"/>
              <w:rPr>
                <w:rFonts w:ascii="Calibri" w:hAnsi="Calibri"/>
                <w:sz w:val="22"/>
                <w:szCs w:val="22"/>
              </w:rPr>
            </w:pPr>
            <w:r w:rsidRPr="00A52DDF">
              <w:rPr>
                <w:rFonts w:ascii="Calibri" w:hAnsi="Calibri"/>
                <w:sz w:val="22"/>
                <w:szCs w:val="22"/>
              </w:rPr>
              <w:t xml:space="preserve">2019 prijavljeno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rPr>
                <w:rFonts w:ascii="Calibri" w:hAnsi="Calibri"/>
                <w:sz w:val="22"/>
                <w:szCs w:val="22"/>
              </w:rPr>
            </w:pPr>
            <w:r w:rsidRPr="00A52DDF">
              <w:rPr>
                <w:rFonts w:ascii="Calibri" w:hAnsi="Calibri"/>
                <w:sz w:val="22"/>
                <w:szCs w:val="22"/>
              </w:rPr>
              <w:t>prijavljeno</w:t>
            </w:r>
          </w:p>
          <w:p w:rsidR="00A52DDF" w:rsidRPr="00A52DDF" w:rsidRDefault="00A52DDF" w:rsidP="00A52DDF">
            <w:pPr>
              <w:spacing w:line="256" w:lineRule="auto"/>
              <w:ind w:right="67"/>
              <w:jc w:val="center"/>
              <w:rPr>
                <w:rFonts w:ascii="Calibri" w:hAnsi="Calibri"/>
                <w:sz w:val="22"/>
                <w:szCs w:val="22"/>
              </w:rPr>
            </w:pPr>
            <w:r w:rsidRPr="00A52DDF">
              <w:rPr>
                <w:rFonts w:ascii="Calibri" w:hAnsi="Calibri"/>
                <w:sz w:val="22"/>
                <w:szCs w:val="22"/>
              </w:rPr>
              <w:t xml:space="preserve">/ g.granica </w:t>
            </w:r>
          </w:p>
        </w:tc>
        <w:tc>
          <w:tcPr>
            <w:tcW w:w="10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ind w:right="67"/>
              <w:jc w:val="center"/>
              <w:rPr>
                <w:rFonts w:ascii="Calibri" w:hAnsi="Calibri"/>
                <w:sz w:val="22"/>
                <w:szCs w:val="22"/>
              </w:rPr>
            </w:pPr>
            <w:r w:rsidRPr="00A52DDF">
              <w:rPr>
                <w:rFonts w:ascii="Calibri" w:hAnsi="Calibri"/>
                <w:sz w:val="22"/>
                <w:szCs w:val="22"/>
              </w:rPr>
              <w:t xml:space="preserve">2019 </w:t>
            </w:r>
          </w:p>
          <w:p w:rsidR="00A52DDF" w:rsidRPr="00A52DDF" w:rsidRDefault="00A52DDF" w:rsidP="00A52DDF">
            <w:pPr>
              <w:spacing w:line="256" w:lineRule="auto"/>
              <w:ind w:left="48"/>
              <w:rPr>
                <w:rFonts w:ascii="Calibri" w:hAnsi="Calibri"/>
                <w:sz w:val="22"/>
                <w:szCs w:val="22"/>
              </w:rPr>
            </w:pPr>
            <w:r w:rsidRPr="00A52DDF">
              <w:rPr>
                <w:rFonts w:ascii="Calibri" w:hAnsi="Calibri"/>
                <w:sz w:val="22"/>
                <w:szCs w:val="22"/>
              </w:rPr>
              <w:t xml:space="preserve">g.granica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jc w:val="center"/>
              <w:rPr>
                <w:rFonts w:ascii="Calibri" w:hAnsi="Calibri"/>
                <w:sz w:val="22"/>
                <w:szCs w:val="22"/>
              </w:rPr>
            </w:pPr>
            <w:r w:rsidRPr="00A52DDF">
              <w:rPr>
                <w:rFonts w:ascii="Calibri" w:hAnsi="Calibri"/>
                <w:sz w:val="22"/>
                <w:szCs w:val="22"/>
              </w:rPr>
              <w:t xml:space="preserve">2019 prijavljeno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rPr>
                <w:rFonts w:ascii="Calibri" w:hAnsi="Calibri"/>
                <w:sz w:val="22"/>
                <w:szCs w:val="22"/>
              </w:rPr>
            </w:pPr>
            <w:r w:rsidRPr="00A52DDF">
              <w:rPr>
                <w:rFonts w:ascii="Calibri" w:hAnsi="Calibri"/>
                <w:sz w:val="22"/>
                <w:szCs w:val="22"/>
              </w:rPr>
              <w:t>prijavljeno</w:t>
            </w:r>
          </w:p>
          <w:p w:rsidR="00A52DDF" w:rsidRPr="00A52DDF" w:rsidRDefault="00A52DDF" w:rsidP="00A52DDF">
            <w:pPr>
              <w:spacing w:line="256" w:lineRule="auto"/>
              <w:ind w:right="65"/>
              <w:jc w:val="center"/>
              <w:rPr>
                <w:rFonts w:ascii="Calibri" w:hAnsi="Calibri"/>
                <w:sz w:val="22"/>
                <w:szCs w:val="22"/>
              </w:rPr>
            </w:pPr>
            <w:r w:rsidRPr="00A52DDF">
              <w:rPr>
                <w:rFonts w:ascii="Calibri" w:hAnsi="Calibri"/>
                <w:sz w:val="22"/>
                <w:szCs w:val="22"/>
              </w:rPr>
              <w:t xml:space="preserve">/ g.granica </w:t>
            </w:r>
          </w:p>
        </w:tc>
        <w:tc>
          <w:tcPr>
            <w:tcW w:w="10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ind w:left="108"/>
              <w:rPr>
                <w:rFonts w:ascii="Calibri" w:hAnsi="Calibri"/>
                <w:sz w:val="22"/>
                <w:szCs w:val="22"/>
              </w:rPr>
            </w:pPr>
            <w:r w:rsidRPr="00A52DDF">
              <w:rPr>
                <w:rFonts w:ascii="Calibri" w:hAnsi="Calibri"/>
                <w:sz w:val="22"/>
                <w:szCs w:val="22"/>
              </w:rPr>
              <w:t xml:space="preserve">2019 </w:t>
            </w:r>
          </w:p>
          <w:p w:rsidR="00A52DDF" w:rsidRPr="00A52DDF" w:rsidRDefault="00A52DDF" w:rsidP="00A52DDF">
            <w:pPr>
              <w:spacing w:line="256" w:lineRule="auto"/>
              <w:ind w:left="41"/>
              <w:rPr>
                <w:rFonts w:ascii="Calibri" w:hAnsi="Calibri"/>
                <w:sz w:val="22"/>
                <w:szCs w:val="22"/>
              </w:rPr>
            </w:pPr>
            <w:r w:rsidRPr="00A52DDF">
              <w:rPr>
                <w:rFonts w:ascii="Calibri" w:hAnsi="Calibri"/>
                <w:sz w:val="22"/>
                <w:szCs w:val="22"/>
              </w:rPr>
              <w:t xml:space="preserve">g.granica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jc w:val="center"/>
              <w:rPr>
                <w:rFonts w:ascii="Calibri" w:hAnsi="Calibri"/>
                <w:sz w:val="22"/>
                <w:szCs w:val="22"/>
              </w:rPr>
            </w:pPr>
            <w:r w:rsidRPr="00A52DDF">
              <w:rPr>
                <w:rFonts w:ascii="Calibri" w:hAnsi="Calibri"/>
                <w:sz w:val="22"/>
                <w:szCs w:val="22"/>
              </w:rPr>
              <w:t xml:space="preserve">2019 prijavljeno </w:t>
            </w:r>
          </w:p>
        </w:tc>
        <w:tc>
          <w:tcPr>
            <w:tcW w:w="10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52DDF" w:rsidRPr="00A52DDF" w:rsidRDefault="00A52DDF" w:rsidP="00A52DDF">
            <w:pPr>
              <w:spacing w:line="256" w:lineRule="auto"/>
              <w:rPr>
                <w:rFonts w:ascii="Calibri" w:hAnsi="Calibri"/>
                <w:sz w:val="22"/>
                <w:szCs w:val="22"/>
              </w:rPr>
            </w:pPr>
            <w:r w:rsidRPr="00A52DDF">
              <w:rPr>
                <w:rFonts w:ascii="Calibri" w:hAnsi="Calibri"/>
                <w:sz w:val="22"/>
                <w:szCs w:val="22"/>
              </w:rPr>
              <w:t>prijavljeno</w:t>
            </w:r>
          </w:p>
          <w:p w:rsidR="00A52DDF" w:rsidRPr="00A52DDF" w:rsidRDefault="00A52DDF" w:rsidP="00A52DDF">
            <w:pPr>
              <w:spacing w:line="256" w:lineRule="auto"/>
              <w:ind w:right="63"/>
              <w:jc w:val="center"/>
              <w:rPr>
                <w:rFonts w:ascii="Calibri" w:hAnsi="Calibri"/>
                <w:sz w:val="22"/>
                <w:szCs w:val="22"/>
              </w:rPr>
            </w:pPr>
            <w:r w:rsidRPr="00A52DDF">
              <w:rPr>
                <w:rFonts w:ascii="Calibri" w:hAnsi="Calibri"/>
                <w:sz w:val="22"/>
                <w:szCs w:val="22"/>
              </w:rPr>
              <w:t xml:space="preserve">/ g.granica </w:t>
            </w:r>
          </w:p>
        </w:tc>
      </w:tr>
      <w:tr w:rsidR="00A52DDF" w:rsidRPr="00A52DDF" w:rsidTr="00153326">
        <w:trPr>
          <w:trHeight w:val="502"/>
        </w:trPr>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22"/>
              <w:rPr>
                <w:rFonts w:ascii="Calibri" w:hAnsi="Calibri"/>
                <w:sz w:val="22"/>
                <w:szCs w:val="22"/>
              </w:rPr>
            </w:pPr>
            <w:r w:rsidRPr="00A52DDF">
              <w:rPr>
                <w:rFonts w:ascii="Calibri" w:hAnsi="Calibri"/>
                <w:sz w:val="22"/>
                <w:szCs w:val="22"/>
              </w:rPr>
              <w:t xml:space="preserve">22,195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22"/>
              <w:rPr>
                <w:rFonts w:ascii="Calibri" w:hAnsi="Calibri"/>
                <w:sz w:val="22"/>
                <w:szCs w:val="22"/>
              </w:rPr>
            </w:pPr>
            <w:r w:rsidRPr="00A52DDF">
              <w:rPr>
                <w:rFonts w:ascii="Calibri" w:hAnsi="Calibri"/>
                <w:sz w:val="22"/>
                <w:szCs w:val="22"/>
              </w:rPr>
              <w:t xml:space="preserve">189,115 </w:t>
            </w:r>
          </w:p>
        </w:tc>
        <w:tc>
          <w:tcPr>
            <w:tcW w:w="10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A52DDF" w:rsidRPr="00A52DDF" w:rsidRDefault="00A52DDF" w:rsidP="00A52DDF">
            <w:pPr>
              <w:spacing w:line="256" w:lineRule="auto"/>
              <w:ind w:right="62"/>
              <w:jc w:val="center"/>
              <w:rPr>
                <w:rFonts w:ascii="Calibri" w:hAnsi="Calibri"/>
                <w:sz w:val="22"/>
                <w:szCs w:val="22"/>
              </w:rPr>
            </w:pPr>
            <w:r w:rsidRPr="00A52DDF">
              <w:rPr>
                <w:rFonts w:ascii="Calibri" w:hAnsi="Calibri"/>
                <w:b/>
                <w:sz w:val="22"/>
                <w:szCs w:val="22"/>
              </w:rPr>
              <w:t xml:space="preserve">8.52 </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24"/>
              <w:rPr>
                <w:rFonts w:ascii="Calibri" w:hAnsi="Calibri"/>
                <w:sz w:val="22"/>
                <w:szCs w:val="22"/>
              </w:rPr>
            </w:pPr>
            <w:r w:rsidRPr="00A52DDF">
              <w:rPr>
                <w:rFonts w:ascii="Calibri" w:hAnsi="Calibri"/>
                <w:sz w:val="22"/>
                <w:szCs w:val="22"/>
              </w:rPr>
              <w:t xml:space="preserve">14,030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74"/>
              <w:rPr>
                <w:rFonts w:ascii="Calibri" w:hAnsi="Calibri"/>
                <w:sz w:val="22"/>
                <w:szCs w:val="22"/>
              </w:rPr>
            </w:pPr>
            <w:r w:rsidRPr="00A52DDF">
              <w:rPr>
                <w:rFonts w:ascii="Calibri" w:hAnsi="Calibri"/>
                <w:sz w:val="22"/>
                <w:szCs w:val="22"/>
              </w:rPr>
              <w:t xml:space="preserve">14,415 </w:t>
            </w:r>
          </w:p>
        </w:tc>
        <w:tc>
          <w:tcPr>
            <w:tcW w:w="10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A52DDF" w:rsidRPr="00A52DDF" w:rsidRDefault="00A52DDF" w:rsidP="00A52DDF">
            <w:pPr>
              <w:spacing w:line="256" w:lineRule="auto"/>
              <w:ind w:right="60"/>
              <w:jc w:val="center"/>
              <w:rPr>
                <w:rFonts w:ascii="Calibri" w:hAnsi="Calibri"/>
                <w:sz w:val="22"/>
                <w:szCs w:val="22"/>
              </w:rPr>
            </w:pPr>
            <w:r w:rsidRPr="00A52DDF">
              <w:rPr>
                <w:rFonts w:ascii="Calibri" w:hAnsi="Calibri"/>
                <w:b/>
                <w:sz w:val="22"/>
                <w:szCs w:val="22"/>
              </w:rPr>
              <w:t xml:space="preserve">1.03 </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left="77"/>
              <w:rPr>
                <w:rFonts w:ascii="Calibri" w:hAnsi="Calibri"/>
                <w:sz w:val="22"/>
                <w:szCs w:val="22"/>
              </w:rPr>
            </w:pPr>
            <w:r w:rsidRPr="00A52DDF">
              <w:rPr>
                <w:rFonts w:ascii="Calibri" w:hAnsi="Calibri"/>
                <w:sz w:val="22"/>
                <w:szCs w:val="22"/>
              </w:rPr>
              <w:t xml:space="preserve">1,690 </w:t>
            </w:r>
          </w:p>
        </w:tc>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DDF" w:rsidRPr="00A52DDF" w:rsidRDefault="00A52DDF" w:rsidP="00A52DDF">
            <w:pPr>
              <w:spacing w:line="256" w:lineRule="auto"/>
              <w:ind w:right="64"/>
              <w:jc w:val="center"/>
              <w:rPr>
                <w:rFonts w:ascii="Calibri" w:hAnsi="Calibri"/>
                <w:sz w:val="22"/>
                <w:szCs w:val="22"/>
              </w:rPr>
            </w:pPr>
            <w:r w:rsidRPr="00A52DDF">
              <w:rPr>
                <w:rFonts w:ascii="Calibri" w:hAnsi="Calibri"/>
                <w:sz w:val="22"/>
                <w:szCs w:val="22"/>
              </w:rPr>
              <w:t xml:space="preserve">2,731 </w:t>
            </w:r>
          </w:p>
        </w:tc>
        <w:tc>
          <w:tcPr>
            <w:tcW w:w="1096" w:type="dxa"/>
            <w:tcBorders>
              <w:top w:val="single" w:sz="4" w:space="0" w:color="000000"/>
              <w:left w:val="single" w:sz="4" w:space="0" w:color="000000"/>
              <w:bottom w:val="single" w:sz="4" w:space="0" w:color="000000"/>
              <w:right w:val="single" w:sz="4" w:space="0" w:color="000000"/>
            </w:tcBorders>
            <w:shd w:val="clear" w:color="auto" w:fill="FFC000"/>
            <w:vAlign w:val="center"/>
            <w:hideMark/>
          </w:tcPr>
          <w:p w:rsidR="00A52DDF" w:rsidRPr="00A52DDF" w:rsidRDefault="00A52DDF" w:rsidP="00A52DDF">
            <w:pPr>
              <w:spacing w:line="256" w:lineRule="auto"/>
              <w:ind w:right="59"/>
              <w:jc w:val="center"/>
              <w:rPr>
                <w:rFonts w:ascii="Calibri" w:hAnsi="Calibri"/>
                <w:sz w:val="22"/>
                <w:szCs w:val="22"/>
              </w:rPr>
            </w:pPr>
            <w:r w:rsidRPr="00A52DDF">
              <w:rPr>
                <w:rFonts w:ascii="Calibri" w:hAnsi="Calibri"/>
                <w:b/>
                <w:sz w:val="22"/>
                <w:szCs w:val="22"/>
              </w:rPr>
              <w:t xml:space="preserve">1.62 </w:t>
            </w:r>
          </w:p>
        </w:tc>
      </w:tr>
    </w:tbl>
    <w:p w:rsidR="00A52DDF" w:rsidRPr="00A52DDF" w:rsidRDefault="00A52DDF" w:rsidP="00A52DDF">
      <w:pPr>
        <w:spacing w:line="256" w:lineRule="auto"/>
        <w:rPr>
          <w:rFonts w:ascii="Arial" w:eastAsia="Arial" w:hAnsi="Arial" w:cs="Arial"/>
          <w:color w:val="000000"/>
          <w:sz w:val="22"/>
          <w:szCs w:val="22"/>
          <w:lang w:val="bs-Latn-BA" w:eastAsia="bs-Latn-BA"/>
        </w:rPr>
      </w:pPr>
      <w:r w:rsidRPr="00A52DDF">
        <w:rPr>
          <w:sz w:val="20"/>
        </w:rPr>
        <w:t xml:space="preserve"> </w:t>
      </w:r>
    </w:p>
    <w:p w:rsidR="00B55D78" w:rsidRPr="00B55D78" w:rsidRDefault="00B55D78" w:rsidP="00B55D78">
      <w:pPr>
        <w:jc w:val="both"/>
        <w:rPr>
          <w:rFonts w:ascii="Arial" w:eastAsia="Arial" w:hAnsi="Arial" w:cs="Arial"/>
          <w:lang w:val="bs-Latn-BA" w:eastAsia="bs-Latn-BA"/>
        </w:rPr>
      </w:pPr>
      <w:r>
        <w:rPr>
          <w:rFonts w:ascii="Arial" w:eastAsia="Arial" w:hAnsi="Arial" w:cs="Arial"/>
          <w:lang w:val="bs-Latn-BA" w:eastAsia="bs-Latn-BA"/>
        </w:rPr>
        <w:t xml:space="preserve">Odstupanje u emisijama SO2 od palfona je evidentno. </w:t>
      </w:r>
      <w:r w:rsidR="00A52DDF" w:rsidRPr="00A52DDF">
        <w:rPr>
          <w:rFonts w:ascii="Arial" w:eastAsia="Arial" w:hAnsi="Arial" w:cs="Arial"/>
          <w:lang w:val="bs-Latn-BA" w:eastAsia="bs-Latn-BA"/>
        </w:rPr>
        <w:t xml:space="preserve">Što se tiče ukupnih emisija BiH emisije NOx </w:t>
      </w:r>
      <w:r>
        <w:rPr>
          <w:rFonts w:ascii="Arial" w:eastAsia="Arial" w:hAnsi="Arial" w:cs="Arial"/>
          <w:lang w:val="bs-Latn-BA" w:eastAsia="bs-Latn-BA"/>
        </w:rPr>
        <w:t xml:space="preserve">i prašine </w:t>
      </w:r>
      <w:r w:rsidR="00A52DDF" w:rsidRPr="00A52DDF">
        <w:rPr>
          <w:rFonts w:ascii="Arial" w:eastAsia="Arial" w:hAnsi="Arial" w:cs="Arial"/>
          <w:lang w:val="bs-Latn-BA" w:eastAsia="bs-Latn-BA"/>
        </w:rPr>
        <w:t xml:space="preserve">za obe godine, 2018. i 2019.,  </w:t>
      </w:r>
      <w:r>
        <w:rPr>
          <w:rFonts w:ascii="Arial" w:eastAsia="Arial" w:hAnsi="Arial" w:cs="Arial"/>
          <w:lang w:val="bs-Latn-BA" w:eastAsia="bs-Latn-BA"/>
        </w:rPr>
        <w:t xml:space="preserve">su </w:t>
      </w:r>
      <w:r w:rsidR="00A52DDF" w:rsidRPr="00A52DDF">
        <w:rPr>
          <w:rFonts w:ascii="Arial" w:eastAsia="Arial" w:hAnsi="Arial" w:cs="Arial"/>
          <w:lang w:val="bs-Latn-BA" w:eastAsia="bs-Latn-BA"/>
        </w:rPr>
        <w:t xml:space="preserve">bile vrlo blizu plafona.  </w:t>
      </w:r>
      <w:r w:rsidRPr="00B55D78">
        <w:rPr>
          <w:rFonts w:ascii="Arial" w:eastAsia="Arial" w:hAnsi="Arial" w:cs="Arial"/>
          <w:lang w:val="bs-Latn-BA" w:eastAsia="bs-Latn-BA"/>
        </w:rPr>
        <w:t xml:space="preserve">U 2018. godini prekoračenje plafona za NOx je iznosilo 7%, a u 2019.godine  samo 3 % što je na nivou mjerne greške. </w:t>
      </w:r>
    </w:p>
    <w:p w:rsidR="00A52DDF" w:rsidRPr="00A52DDF" w:rsidRDefault="00A52DDF" w:rsidP="00A52DDF">
      <w:pPr>
        <w:jc w:val="both"/>
        <w:rPr>
          <w:rFonts w:ascii="Arial" w:eastAsia="Arial" w:hAnsi="Arial" w:cs="Arial"/>
          <w:lang w:val="bs-Latn-BA" w:eastAsia="bs-Latn-BA"/>
        </w:rPr>
      </w:pPr>
    </w:p>
    <w:p w:rsidR="001C586F" w:rsidRDefault="001C586F">
      <w:pPr>
        <w:rPr>
          <w:rFonts w:ascii="Arial" w:hAnsi="Arial" w:cs="Arial"/>
          <w:b/>
        </w:rPr>
      </w:pPr>
    </w:p>
    <w:p w:rsidR="00C74AB0" w:rsidRDefault="001C586F" w:rsidP="001C586F">
      <w:pPr>
        <w:spacing w:line="276" w:lineRule="auto"/>
        <w:jc w:val="both"/>
        <w:rPr>
          <w:rFonts w:ascii="Arial" w:hAnsi="Arial" w:cs="Arial"/>
          <w:b/>
          <w:u w:val="single"/>
        </w:rPr>
      </w:pPr>
      <w:r w:rsidRPr="001C586F">
        <w:rPr>
          <w:rFonts w:ascii="Arial" w:hAnsi="Arial" w:cs="Arial"/>
          <w:b/>
          <w:u w:val="single"/>
        </w:rPr>
        <w:t>Emisije SO2, NOx i prašine za operatore sa područja FBi</w:t>
      </w:r>
      <w:r w:rsidR="00C74AB0">
        <w:rPr>
          <w:rFonts w:ascii="Arial" w:hAnsi="Arial" w:cs="Arial"/>
          <w:b/>
          <w:u w:val="single"/>
        </w:rPr>
        <w:t>H koji su u NERP-u:</w:t>
      </w:r>
    </w:p>
    <w:p w:rsidR="001C586F" w:rsidRPr="00C74AB0" w:rsidRDefault="001C586F" w:rsidP="001C586F">
      <w:pPr>
        <w:spacing w:line="276" w:lineRule="auto"/>
        <w:jc w:val="both"/>
        <w:rPr>
          <w:rFonts w:ascii="Arial" w:hAnsi="Arial" w:cs="Arial"/>
          <w:b/>
          <w:u w:val="single"/>
        </w:rPr>
      </w:pPr>
      <w:r w:rsidRPr="001C586F">
        <w:rPr>
          <w:rFonts w:ascii="Arial" w:hAnsi="Arial" w:cs="Arial"/>
          <w:bCs/>
        </w:rPr>
        <w:t xml:space="preserve">Po osnovu raspoloživih podataka iz dostavljenih izvještaja operatora sa područja Federacije BiH </w:t>
      </w:r>
      <w:r>
        <w:rPr>
          <w:rFonts w:ascii="Arial" w:hAnsi="Arial" w:cs="Arial"/>
          <w:bCs/>
        </w:rPr>
        <w:t xml:space="preserve">situacija je </w:t>
      </w:r>
      <w:r w:rsidRPr="001C586F">
        <w:rPr>
          <w:rFonts w:ascii="Arial" w:hAnsi="Arial" w:cs="Arial"/>
          <w:bCs/>
        </w:rPr>
        <w:t>slijedeć</w:t>
      </w:r>
      <w:r>
        <w:rPr>
          <w:rFonts w:ascii="Arial" w:hAnsi="Arial" w:cs="Arial"/>
          <w:bCs/>
        </w:rPr>
        <w:t>a</w:t>
      </w:r>
      <w:r w:rsidRPr="001C586F">
        <w:rPr>
          <w:rFonts w:ascii="Arial" w:hAnsi="Arial" w:cs="Arial"/>
          <w:bCs/>
        </w:rPr>
        <w:t>:</w:t>
      </w:r>
    </w:p>
    <w:p w:rsidR="001C586F" w:rsidRPr="001C586F" w:rsidRDefault="001C586F" w:rsidP="001C586F">
      <w:pPr>
        <w:spacing w:line="276" w:lineRule="auto"/>
        <w:jc w:val="both"/>
        <w:rPr>
          <w:rFonts w:ascii="Arial" w:hAnsi="Arial" w:cs="Arial"/>
          <w:bCs/>
        </w:rPr>
      </w:pPr>
    </w:p>
    <w:p w:rsidR="001C586F" w:rsidRDefault="001C586F" w:rsidP="001C586F">
      <w:pPr>
        <w:jc w:val="both"/>
        <w:rPr>
          <w:rFonts w:ascii="Arial" w:hAnsi="Arial" w:cs="Arial"/>
          <w:bCs/>
        </w:rPr>
      </w:pPr>
      <w:r w:rsidRPr="001C586F">
        <w:rPr>
          <w:rFonts w:ascii="Arial" w:hAnsi="Arial" w:cs="Arial"/>
          <w:bCs/>
        </w:rPr>
        <w:t>- emisije SO</w:t>
      </w:r>
      <w:r w:rsidRPr="001C586F">
        <w:rPr>
          <w:rFonts w:ascii="Arial" w:hAnsi="Arial" w:cs="Arial"/>
          <w:bCs/>
          <w:vertAlign w:val="subscript"/>
        </w:rPr>
        <w:t xml:space="preserve">2 </w:t>
      </w:r>
      <w:r w:rsidRPr="001C586F">
        <w:rPr>
          <w:rFonts w:ascii="Arial" w:hAnsi="Arial" w:cs="Arial"/>
          <w:bCs/>
        </w:rPr>
        <w:t>od strane</w:t>
      </w:r>
      <w:r w:rsidRPr="001C586F">
        <w:rPr>
          <w:rFonts w:ascii="Arial" w:hAnsi="Arial" w:cs="Arial"/>
          <w:bCs/>
          <w:vertAlign w:val="subscript"/>
        </w:rPr>
        <w:t xml:space="preserve"> </w:t>
      </w:r>
      <w:r w:rsidRPr="001C586F">
        <w:rPr>
          <w:rFonts w:ascii="Arial" w:hAnsi="Arial" w:cs="Arial"/>
          <w:bCs/>
        </w:rPr>
        <w:t>termoblokova u vlasništvu JPEP BiH su i dalje znatno iznad plafona, u toku su aktivnosti na realizaciji projekta odsumporavanja</w:t>
      </w:r>
      <w:bookmarkStart w:id="0" w:name="_GoBack"/>
      <w:bookmarkEnd w:id="0"/>
      <w:r w:rsidRPr="001C586F">
        <w:rPr>
          <w:rFonts w:ascii="Arial" w:hAnsi="Arial" w:cs="Arial"/>
          <w:bCs/>
        </w:rPr>
        <w:t>. Dakle, u 2018. godini plafon za  blokove JPEP BiH prekršen je za SO</w:t>
      </w:r>
      <w:r w:rsidRPr="001C586F">
        <w:rPr>
          <w:rFonts w:ascii="Arial" w:hAnsi="Arial" w:cs="Arial"/>
          <w:bCs/>
          <w:vertAlign w:val="subscript"/>
        </w:rPr>
        <w:t>2</w:t>
      </w:r>
      <w:r w:rsidRPr="001C586F">
        <w:rPr>
          <w:rFonts w:ascii="Arial" w:hAnsi="Arial" w:cs="Arial"/>
          <w:bCs/>
        </w:rPr>
        <w:t xml:space="preserve"> znatno, za NOx cca 11% dok su emisije prašine bile znatno ispod plafona,tj smanjene su za 55%. U 2019. godini, za SO</w:t>
      </w:r>
      <w:r w:rsidRPr="001C586F">
        <w:rPr>
          <w:rFonts w:ascii="Arial" w:hAnsi="Arial" w:cs="Arial"/>
          <w:bCs/>
          <w:vertAlign w:val="subscript"/>
        </w:rPr>
        <w:t>2</w:t>
      </w:r>
      <w:r w:rsidRPr="001C586F">
        <w:rPr>
          <w:rFonts w:ascii="Arial" w:hAnsi="Arial" w:cs="Arial"/>
          <w:bCs/>
        </w:rPr>
        <w:t xml:space="preserve"> je znatno prekršen plafon, emisije NOx su nešto malo iznad plafona (ispod 2%) dok su emisije prašine opet znatnio ispod plafona JPEP BiH tj. smanjene su za 58%.</w:t>
      </w:r>
    </w:p>
    <w:p w:rsidR="001C586F" w:rsidRDefault="001C586F" w:rsidP="001C586F">
      <w:pPr>
        <w:rPr>
          <w:rFonts w:ascii="Arial" w:hAnsi="Arial" w:cs="Arial"/>
          <w:bCs/>
        </w:rPr>
      </w:pPr>
    </w:p>
    <w:p w:rsidR="001C586F" w:rsidRPr="001C586F" w:rsidRDefault="00C74AB0" w:rsidP="00C74AB0">
      <w:pPr>
        <w:spacing w:line="276" w:lineRule="auto"/>
        <w:jc w:val="both"/>
        <w:rPr>
          <w:rFonts w:ascii="Arial" w:hAnsi="Arial" w:cs="Arial"/>
          <w:bCs/>
        </w:rPr>
      </w:pPr>
      <w:r>
        <w:rPr>
          <w:rFonts w:ascii="Arial" w:hAnsi="Arial" w:cs="Arial"/>
          <w:bCs/>
        </w:rPr>
        <w:t>-</w:t>
      </w:r>
      <w:r w:rsidR="001C586F" w:rsidRPr="001C586F">
        <w:rPr>
          <w:rFonts w:ascii="Arial" w:hAnsi="Arial" w:cs="Arial"/>
          <w:bCs/>
        </w:rPr>
        <w:t xml:space="preserve">za emisije operatora Natron Hayat Maglaj prekoračenje plafona je urađeno za NOx u 2018. godini, dok je u 2019. godini to ispod definisanog plafona što je na liniji postepenog ispunjavanja obaveza. </w:t>
      </w:r>
    </w:p>
    <w:p w:rsidR="001C586F" w:rsidRPr="008C08BD" w:rsidRDefault="001C586F" w:rsidP="001C586F">
      <w:pPr>
        <w:rPr>
          <w:rFonts w:ascii="Arial" w:hAnsi="Arial" w:cs="Arial"/>
          <w:b/>
        </w:rPr>
      </w:pPr>
    </w:p>
    <w:sectPr w:rsidR="001C586F" w:rsidRPr="008C0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CAF"/>
    <w:multiLevelType w:val="hybridMultilevel"/>
    <w:tmpl w:val="CC80EF86"/>
    <w:lvl w:ilvl="0" w:tplc="B3EE207E">
      <w:start w:val="9"/>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52CC0"/>
    <w:multiLevelType w:val="hybridMultilevel"/>
    <w:tmpl w:val="BAAE339A"/>
    <w:lvl w:ilvl="0" w:tplc="49DE3F24">
      <w:numFmt w:val="bullet"/>
      <w:lvlText w:val="-"/>
      <w:lvlJc w:val="left"/>
      <w:pPr>
        <w:ind w:left="720" w:hanging="360"/>
      </w:pPr>
      <w:rPr>
        <w:rFonts w:ascii="Times New Roman" w:eastAsia="Times New Roma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AD"/>
    <w:rsid w:val="001C586F"/>
    <w:rsid w:val="002D2000"/>
    <w:rsid w:val="003565CD"/>
    <w:rsid w:val="00403EAD"/>
    <w:rsid w:val="004E13C9"/>
    <w:rsid w:val="008C08BD"/>
    <w:rsid w:val="009D5A01"/>
    <w:rsid w:val="009E4A0F"/>
    <w:rsid w:val="00A41F5A"/>
    <w:rsid w:val="00A52DDF"/>
    <w:rsid w:val="00AB50E6"/>
    <w:rsid w:val="00B55D78"/>
    <w:rsid w:val="00B871FD"/>
    <w:rsid w:val="00C74AB0"/>
    <w:rsid w:val="00E9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F58CA"/>
  <w15:chartTrackingRefBased/>
  <w15:docId w15:val="{BC3B9D59-D3BE-4CD2-8A85-6AD86C6A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AD"/>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A0F"/>
    <w:pPr>
      <w:ind w:left="708"/>
    </w:pPr>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Almira</dc:creator>
  <cp:keywords/>
  <dc:description/>
  <cp:lastModifiedBy>Sabina Salihbegovic</cp:lastModifiedBy>
  <cp:revision>4</cp:revision>
  <dcterms:created xsi:type="dcterms:W3CDTF">2021-09-10T13:11:00Z</dcterms:created>
  <dcterms:modified xsi:type="dcterms:W3CDTF">2021-09-10T13:12:00Z</dcterms:modified>
</cp:coreProperties>
</file>