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3456" w14:textId="77777777" w:rsidR="00527FE1" w:rsidRPr="00DA71AA" w:rsidRDefault="00527FE1" w:rsidP="00527FE1">
      <w:pPr>
        <w:pStyle w:val="Heading3"/>
        <w:framePr w:w="3574" w:h="904" w:wrap="auto" w:x="1426" w:y="1"/>
        <w:jc w:val="left"/>
        <w:rPr>
          <w:rFonts w:cs="Arial"/>
          <w:b w:val="0"/>
        </w:rPr>
      </w:pPr>
      <w:r w:rsidRPr="00DA71AA">
        <w:rPr>
          <w:rFonts w:cs="Arial"/>
          <w:b w:val="0"/>
        </w:rPr>
        <w:t>Bosna i Hercegovina</w:t>
      </w:r>
    </w:p>
    <w:p w14:paraId="4933BFE0" w14:textId="77777777" w:rsidR="00527FE1" w:rsidRPr="00DA71AA" w:rsidRDefault="00527FE1" w:rsidP="00527FE1">
      <w:pPr>
        <w:pStyle w:val="Heading3"/>
        <w:framePr w:w="3574" w:h="904" w:wrap="auto" w:x="1426" w:y="1"/>
        <w:jc w:val="left"/>
        <w:rPr>
          <w:rFonts w:cs="Arial"/>
        </w:rPr>
      </w:pPr>
      <w:r w:rsidRPr="00DA71AA">
        <w:rPr>
          <w:rFonts w:cs="Arial"/>
        </w:rPr>
        <w:t>Federacija Bosne i Hercegovine</w:t>
      </w:r>
    </w:p>
    <w:p w14:paraId="6154DF25" w14:textId="77777777" w:rsidR="00527FE1" w:rsidRPr="00DA71AA" w:rsidRDefault="00527FE1" w:rsidP="00527FE1">
      <w:pPr>
        <w:pStyle w:val="Heading3"/>
        <w:framePr w:w="3574" w:h="904" w:wrap="auto" w:x="1426" w:y="1"/>
        <w:jc w:val="left"/>
        <w:rPr>
          <w:rFonts w:cs="Arial"/>
        </w:rPr>
      </w:pPr>
      <w:r w:rsidRPr="00DA71AA">
        <w:rPr>
          <w:rFonts w:cs="Arial"/>
        </w:rPr>
        <w:t>FEDERALNOMINISTARSTVO OKOLIŠA</w:t>
      </w:r>
    </w:p>
    <w:p w14:paraId="1001886E" w14:textId="77777777" w:rsidR="00527FE1" w:rsidRPr="00DA71AA" w:rsidRDefault="00527FE1" w:rsidP="00527FE1">
      <w:pPr>
        <w:pStyle w:val="Heading3"/>
        <w:framePr w:w="3574" w:h="904" w:wrap="auto" w:x="1426" w:y="1"/>
        <w:jc w:val="left"/>
        <w:rPr>
          <w:rFonts w:cs="Arial"/>
        </w:rPr>
      </w:pPr>
      <w:r w:rsidRPr="00DA71AA">
        <w:rPr>
          <w:rFonts w:cs="Arial"/>
        </w:rPr>
        <w:t xml:space="preserve"> I TURIZMA</w:t>
      </w:r>
    </w:p>
    <w:p w14:paraId="25DB8C59" w14:textId="77777777" w:rsidR="00527FE1" w:rsidRPr="00DA71AA" w:rsidRDefault="00527FE1" w:rsidP="00527FE1">
      <w:pPr>
        <w:pStyle w:val="Heading3"/>
        <w:framePr w:w="0" w:hRule="auto" w:hSpace="0" w:wrap="auto" w:vAnchor="margin" w:hAnchor="text" w:xAlign="left" w:yAlign="inline"/>
        <w:jc w:val="right"/>
        <w:rPr>
          <w:rFonts w:cs="Arial"/>
          <w:b w:val="0"/>
        </w:rPr>
      </w:pPr>
      <w:r w:rsidRPr="00DA71AA">
        <w:rPr>
          <w:rFonts w:cs="Arial"/>
          <w:b w:val="0"/>
        </w:rPr>
        <w:t>Bosnia and Herzegovina</w:t>
      </w:r>
    </w:p>
    <w:p w14:paraId="72A4087F" w14:textId="77777777" w:rsidR="00527FE1" w:rsidRPr="00DA71AA" w:rsidRDefault="00527FE1" w:rsidP="00527FE1">
      <w:pPr>
        <w:pStyle w:val="Heading3"/>
        <w:framePr w:w="0" w:hRule="auto" w:hSpace="0" w:wrap="auto" w:vAnchor="margin" w:hAnchor="text" w:xAlign="left" w:yAlign="inline"/>
        <w:jc w:val="right"/>
        <w:rPr>
          <w:rFonts w:cs="Arial"/>
        </w:rPr>
      </w:pPr>
      <w:r w:rsidRPr="00DA71AA">
        <w:rPr>
          <w:rFonts w:cs="Arial"/>
        </w:rPr>
        <w:t>Federation of Bosnia and Herzegovina</w:t>
      </w:r>
    </w:p>
    <w:p w14:paraId="19E6EBFF" w14:textId="77777777" w:rsidR="00527FE1" w:rsidRPr="00DA71AA" w:rsidRDefault="00527FE1" w:rsidP="00527FE1">
      <w:pPr>
        <w:pStyle w:val="Heading3"/>
        <w:framePr w:w="0" w:hRule="auto" w:hSpace="0" w:wrap="auto" w:vAnchor="margin" w:hAnchor="text" w:xAlign="left" w:yAlign="inline"/>
        <w:jc w:val="right"/>
      </w:pPr>
      <w:r w:rsidRPr="00DA71AA">
        <w:t xml:space="preserve">FEDERALMINISTRY OF ENVIRONMENT </w:t>
      </w:r>
    </w:p>
    <w:p w14:paraId="4AF852DA" w14:textId="77777777" w:rsidR="00527FE1" w:rsidRPr="00DA71AA" w:rsidRDefault="00527FE1" w:rsidP="00527FE1">
      <w:pPr>
        <w:pStyle w:val="Heading3"/>
        <w:framePr w:w="0" w:hRule="auto" w:hSpace="0" w:wrap="auto" w:vAnchor="margin" w:hAnchor="text" w:xAlign="left" w:yAlign="inline"/>
        <w:jc w:val="right"/>
      </w:pPr>
      <w:r w:rsidRPr="00DA71AA">
        <w:t>AND TOURISM</w:t>
      </w:r>
    </w:p>
    <w:p w14:paraId="338F5E65" w14:textId="77777777" w:rsidR="00527FE1" w:rsidRPr="00DA71AA" w:rsidRDefault="00527FE1" w:rsidP="00527FE1">
      <w:pPr>
        <w:rPr>
          <w:lang w:eastAsia="en-US"/>
        </w:rPr>
      </w:pPr>
    </w:p>
    <w:p w14:paraId="1E25236F" w14:textId="77777777" w:rsidR="00527FE1" w:rsidRPr="006473E1" w:rsidRDefault="00527FE1" w:rsidP="00527FE1">
      <w:pPr>
        <w:ind w:left="-57"/>
        <w:rPr>
          <w:rFonts w:ascii="Arial" w:hAnsi="Arial" w:cs="Arial"/>
        </w:rPr>
      </w:pPr>
      <w:r>
        <w:rPr>
          <w:rFonts w:ascii="Arial" w:hAnsi="Arial" w:cs="Arial"/>
        </w:rPr>
        <w:t>Broj:UPI 05/2-02-19-5-43/25</w:t>
      </w:r>
      <w:r w:rsidRPr="006473E1">
        <w:rPr>
          <w:rFonts w:ascii="Arial" w:hAnsi="Arial" w:cs="Arial"/>
        </w:rPr>
        <w:t xml:space="preserve"> </w:t>
      </w:r>
    </w:p>
    <w:p w14:paraId="11CD0B88" w14:textId="20C91A47" w:rsidR="00527FE1" w:rsidRPr="006473E1" w:rsidRDefault="00527FE1" w:rsidP="00527FE1">
      <w:pPr>
        <w:ind w:left="-57"/>
        <w:rPr>
          <w:rFonts w:ascii="Arial" w:hAnsi="Arial" w:cs="Arial"/>
        </w:rPr>
      </w:pPr>
      <w:r w:rsidRPr="006473E1">
        <w:rPr>
          <w:rFonts w:ascii="Arial" w:hAnsi="Arial" w:cs="Arial"/>
        </w:rPr>
        <w:t xml:space="preserve">Sarajevo, </w:t>
      </w:r>
      <w:r w:rsidR="00FD38C3">
        <w:rPr>
          <w:rFonts w:ascii="Arial" w:hAnsi="Arial" w:cs="Arial"/>
        </w:rPr>
        <w:t>1</w:t>
      </w:r>
      <w:r w:rsidR="00423639">
        <w:rPr>
          <w:rFonts w:ascii="Arial" w:hAnsi="Arial" w:cs="Arial"/>
        </w:rPr>
        <w:t>2</w:t>
      </w:r>
      <w:r>
        <w:rPr>
          <w:rFonts w:ascii="Arial" w:hAnsi="Arial" w:cs="Arial"/>
        </w:rPr>
        <w:t xml:space="preserve">.05. 2025. </w:t>
      </w:r>
      <w:r w:rsidRPr="006473E1">
        <w:rPr>
          <w:rFonts w:ascii="Arial" w:hAnsi="Arial" w:cs="Arial"/>
        </w:rPr>
        <w:t>godine</w:t>
      </w:r>
    </w:p>
    <w:p w14:paraId="02400859" w14:textId="77777777" w:rsidR="00527FE1" w:rsidRPr="00DA71AA" w:rsidRDefault="00527FE1" w:rsidP="00527FE1">
      <w:pPr>
        <w:jc w:val="both"/>
        <w:rPr>
          <w:rFonts w:ascii="Arial" w:hAnsi="Arial" w:cs="Arial"/>
        </w:rPr>
      </w:pPr>
    </w:p>
    <w:p w14:paraId="6D8CEAB0" w14:textId="33586A2B" w:rsidR="009B75D1" w:rsidRDefault="00527FE1" w:rsidP="00554037">
      <w:pPr>
        <w:ind w:left="23"/>
        <w:jc w:val="both"/>
        <w:rPr>
          <w:rFonts w:ascii="Arial" w:hAnsi="Arial" w:cs="Arial"/>
          <w:lang w:val="en-US" w:eastAsia="en-US"/>
        </w:rPr>
      </w:pPr>
      <w:r w:rsidRPr="000E795E">
        <w:rPr>
          <w:rFonts w:ascii="Arial" w:hAnsi="Arial" w:cs="Arial"/>
          <w:lang w:val="en-US" w:eastAsia="en-US"/>
        </w:rPr>
        <w:t xml:space="preserve">Federalno ministarstvo  okoliša i turizma, rješavajući po zahtjevu investitora  </w:t>
      </w:r>
      <w:r w:rsidRPr="000E795E">
        <w:rPr>
          <w:rFonts w:ascii="Arial" w:hAnsi="Arial" w:cs="Arial"/>
          <w:lang w:val="pl-PL"/>
        </w:rPr>
        <w:t>„IBRA” d.o.o. Tuzla</w:t>
      </w:r>
      <w:r w:rsidRPr="000E795E">
        <w:rPr>
          <w:rFonts w:ascii="Arial" w:hAnsi="Arial" w:cs="Arial"/>
          <w:lang w:val="pt-PT"/>
        </w:rPr>
        <w:t xml:space="preserve"> </w:t>
      </w:r>
      <w:r w:rsidRPr="000E795E">
        <w:rPr>
          <w:rFonts w:ascii="Arial" w:hAnsi="Arial" w:cs="Arial"/>
          <w:lang w:val="it-IT"/>
        </w:rPr>
        <w:t>za izdavanje okolinske dozvole</w:t>
      </w:r>
      <w:r>
        <w:rPr>
          <w:rFonts w:ascii="Arial" w:hAnsi="Arial" w:cs="Arial"/>
          <w:lang w:val="it-IT"/>
        </w:rPr>
        <w:t xml:space="preserve"> za </w:t>
      </w:r>
      <w:r w:rsidRPr="000E795E">
        <w:rPr>
          <w:rFonts w:ascii="Arial" w:hAnsi="Arial" w:cs="Arial"/>
          <w:lang w:val="it-IT"/>
        </w:rPr>
        <w:t>pogone i postrojenja za toplo pocinčavanje</w:t>
      </w:r>
      <w:r w:rsidR="009B75D1">
        <w:rPr>
          <w:rFonts w:ascii="Arial" w:hAnsi="Arial" w:cs="Arial"/>
          <w:lang w:val="it-IT"/>
        </w:rPr>
        <w:t xml:space="preserve">  metalnih pozicija - cinkaone</w:t>
      </w:r>
      <w:r w:rsidRPr="000E795E">
        <w:rPr>
          <w:rFonts w:ascii="Arial" w:hAnsi="Arial" w:cs="Arial"/>
        </w:rPr>
        <w:t xml:space="preserve"> u </w:t>
      </w:r>
      <w:r>
        <w:rPr>
          <w:rFonts w:ascii="Arial" w:hAnsi="Arial" w:cs="Arial"/>
        </w:rPr>
        <w:t>naselju Miladije,</w:t>
      </w:r>
      <w:r w:rsidR="00423639">
        <w:rPr>
          <w:rFonts w:ascii="Arial" w:hAnsi="Arial" w:cs="Arial"/>
        </w:rPr>
        <w:t xml:space="preserve"> </w:t>
      </w:r>
      <w:r>
        <w:rPr>
          <w:rFonts w:ascii="Arial" w:hAnsi="Arial" w:cs="Arial"/>
        </w:rPr>
        <w:t>općina</w:t>
      </w:r>
      <w:r w:rsidRPr="000E795E">
        <w:rPr>
          <w:rFonts w:ascii="Arial" w:hAnsi="Arial" w:cs="Arial"/>
        </w:rPr>
        <w:t xml:space="preserve"> Tuzla</w:t>
      </w:r>
      <w:r w:rsidRPr="000E795E">
        <w:rPr>
          <w:rFonts w:ascii="Arial" w:hAnsi="Arial" w:cs="Arial"/>
          <w:lang w:val="en-US" w:eastAsia="en-US"/>
        </w:rPr>
        <w:t xml:space="preserve">, a na osnovu člana </w:t>
      </w:r>
      <w:r w:rsidR="009B75D1">
        <w:rPr>
          <w:rFonts w:ascii="Arial" w:hAnsi="Arial" w:cs="Arial"/>
          <w:lang w:val="en-US" w:eastAsia="en-US"/>
        </w:rPr>
        <w:t>83. stav (2) i člana 93. stav (1) Zakona o zaštiti okoliša (“Službene novine Federacije BiH” , broj 15/21) i člana 4</w:t>
      </w:r>
      <w:r w:rsidR="0068665B">
        <w:rPr>
          <w:rFonts w:ascii="Arial" w:hAnsi="Arial" w:cs="Arial"/>
          <w:lang w:val="en-US" w:eastAsia="en-US"/>
        </w:rPr>
        <w:t>.</w:t>
      </w:r>
      <w:r w:rsidR="009B75D1">
        <w:rPr>
          <w:rFonts w:ascii="Arial" w:hAnsi="Arial" w:cs="Arial"/>
          <w:lang w:val="en-US" w:eastAsia="en-US"/>
        </w:rPr>
        <w:t xml:space="preserve"> stav (1) Uredbe kojom se utvrđuju </w:t>
      </w:r>
      <w:r w:rsidR="0068665B">
        <w:rPr>
          <w:rFonts w:ascii="Arial" w:hAnsi="Arial" w:cs="Arial"/>
          <w:lang w:val="en-US" w:eastAsia="en-US"/>
        </w:rPr>
        <w:t xml:space="preserve">pogoni i postrojenja koja moraju imati okolišnu dozvolu (“Službene novine Federacije BiH” , broj: 51/21 i 74/22) i člana 200. Zakona o upravnom postupku (“Sllužbene novine Fedracije BiH”, broj 02/98 i 48/99 i 61/22), </w:t>
      </w:r>
      <w:r w:rsidR="0068665B" w:rsidRPr="0068665B">
        <w:rPr>
          <w:rFonts w:ascii="Arial" w:hAnsi="Arial" w:cs="Arial"/>
          <w:i/>
          <w:lang w:val="en-US" w:eastAsia="en-US"/>
        </w:rPr>
        <w:t>d</w:t>
      </w:r>
      <w:r w:rsidR="00554037">
        <w:rPr>
          <w:rFonts w:ascii="Arial" w:hAnsi="Arial" w:cs="Arial"/>
          <w:i/>
          <w:lang w:val="en-US" w:eastAsia="en-US"/>
        </w:rPr>
        <w:t xml:space="preserve"> </w:t>
      </w:r>
      <w:r w:rsidR="0068665B" w:rsidRPr="0068665B">
        <w:rPr>
          <w:rFonts w:ascii="Arial" w:hAnsi="Arial" w:cs="Arial"/>
          <w:i/>
          <w:lang w:val="en-US" w:eastAsia="en-US"/>
        </w:rPr>
        <w:t>o</w:t>
      </w:r>
      <w:r w:rsidR="00554037">
        <w:rPr>
          <w:rFonts w:ascii="Arial" w:hAnsi="Arial" w:cs="Arial"/>
          <w:i/>
          <w:lang w:val="en-US" w:eastAsia="en-US"/>
        </w:rPr>
        <w:t xml:space="preserve"> </w:t>
      </w:r>
      <w:r w:rsidR="0068665B" w:rsidRPr="0068665B">
        <w:rPr>
          <w:rFonts w:ascii="Arial" w:hAnsi="Arial" w:cs="Arial"/>
          <w:i/>
          <w:lang w:val="en-US" w:eastAsia="en-US"/>
        </w:rPr>
        <w:t>n</w:t>
      </w:r>
      <w:r w:rsidR="00554037">
        <w:rPr>
          <w:rFonts w:ascii="Arial" w:hAnsi="Arial" w:cs="Arial"/>
          <w:i/>
          <w:lang w:val="en-US" w:eastAsia="en-US"/>
        </w:rPr>
        <w:t xml:space="preserve"> </w:t>
      </w:r>
      <w:r w:rsidR="0068665B" w:rsidRPr="0068665B">
        <w:rPr>
          <w:rFonts w:ascii="Arial" w:hAnsi="Arial" w:cs="Arial"/>
          <w:i/>
          <w:lang w:val="en-US" w:eastAsia="en-US"/>
        </w:rPr>
        <w:t>o</w:t>
      </w:r>
      <w:r w:rsidR="00554037">
        <w:rPr>
          <w:rFonts w:ascii="Arial" w:hAnsi="Arial" w:cs="Arial"/>
          <w:i/>
          <w:lang w:val="en-US" w:eastAsia="en-US"/>
        </w:rPr>
        <w:t xml:space="preserve"> </w:t>
      </w:r>
      <w:r w:rsidR="0068665B" w:rsidRPr="0068665B">
        <w:rPr>
          <w:rFonts w:ascii="Arial" w:hAnsi="Arial" w:cs="Arial"/>
          <w:i/>
          <w:lang w:val="en-US" w:eastAsia="en-US"/>
        </w:rPr>
        <w:t>s</w:t>
      </w:r>
      <w:r w:rsidR="00554037">
        <w:rPr>
          <w:rFonts w:ascii="Arial" w:hAnsi="Arial" w:cs="Arial"/>
          <w:i/>
          <w:lang w:val="en-US" w:eastAsia="en-US"/>
        </w:rPr>
        <w:t xml:space="preserve"> </w:t>
      </w:r>
      <w:r w:rsidR="0068665B" w:rsidRPr="0068665B">
        <w:rPr>
          <w:rFonts w:ascii="Arial" w:hAnsi="Arial" w:cs="Arial"/>
          <w:i/>
          <w:lang w:val="en-US" w:eastAsia="en-US"/>
        </w:rPr>
        <w:t>i:</w:t>
      </w:r>
      <w:r w:rsidR="0068665B">
        <w:rPr>
          <w:rFonts w:ascii="Arial" w:hAnsi="Arial" w:cs="Arial"/>
          <w:lang w:val="en-US" w:eastAsia="en-US"/>
        </w:rPr>
        <w:t xml:space="preserve">  </w:t>
      </w:r>
    </w:p>
    <w:p w14:paraId="52145029" w14:textId="77777777" w:rsidR="009B75D1" w:rsidRDefault="009B75D1" w:rsidP="00527FE1">
      <w:pPr>
        <w:ind w:left="23"/>
        <w:jc w:val="both"/>
        <w:rPr>
          <w:rFonts w:ascii="Arial" w:hAnsi="Arial" w:cs="Arial"/>
          <w:lang w:val="en-US" w:eastAsia="en-US"/>
        </w:rPr>
      </w:pPr>
    </w:p>
    <w:p w14:paraId="705406CA" w14:textId="77777777" w:rsidR="009B75D1" w:rsidRDefault="0068665B" w:rsidP="0068665B">
      <w:pPr>
        <w:ind w:left="23"/>
        <w:jc w:val="center"/>
        <w:rPr>
          <w:rFonts w:ascii="Arial" w:hAnsi="Arial" w:cs="Arial"/>
          <w:b/>
          <w:lang w:val="en-US" w:eastAsia="en-US"/>
        </w:rPr>
      </w:pPr>
      <w:r w:rsidRPr="0068665B">
        <w:rPr>
          <w:rFonts w:ascii="Arial" w:hAnsi="Arial" w:cs="Arial"/>
          <w:b/>
          <w:lang w:val="en-US" w:eastAsia="en-US"/>
        </w:rPr>
        <w:t>R</w:t>
      </w:r>
      <w:r>
        <w:rPr>
          <w:rFonts w:ascii="Arial" w:hAnsi="Arial" w:cs="Arial"/>
          <w:b/>
          <w:lang w:val="en-US" w:eastAsia="en-US"/>
        </w:rPr>
        <w:t xml:space="preserve"> </w:t>
      </w:r>
      <w:r w:rsidRPr="0068665B">
        <w:rPr>
          <w:rFonts w:ascii="Arial" w:hAnsi="Arial" w:cs="Arial"/>
          <w:b/>
          <w:lang w:val="en-US" w:eastAsia="en-US"/>
        </w:rPr>
        <w:t>J</w:t>
      </w:r>
      <w:r>
        <w:rPr>
          <w:rFonts w:ascii="Arial" w:hAnsi="Arial" w:cs="Arial"/>
          <w:b/>
          <w:lang w:val="en-US" w:eastAsia="en-US"/>
        </w:rPr>
        <w:t xml:space="preserve"> </w:t>
      </w:r>
      <w:r w:rsidRPr="0068665B">
        <w:rPr>
          <w:rFonts w:ascii="Arial" w:hAnsi="Arial" w:cs="Arial"/>
          <w:b/>
          <w:lang w:val="en-US" w:eastAsia="en-US"/>
        </w:rPr>
        <w:t>E</w:t>
      </w:r>
      <w:r>
        <w:rPr>
          <w:rFonts w:ascii="Arial" w:hAnsi="Arial" w:cs="Arial"/>
          <w:b/>
          <w:lang w:val="en-US" w:eastAsia="en-US"/>
        </w:rPr>
        <w:t xml:space="preserve"> </w:t>
      </w:r>
      <w:r w:rsidRPr="0068665B">
        <w:rPr>
          <w:rFonts w:ascii="Arial" w:hAnsi="Arial" w:cs="Arial"/>
          <w:b/>
          <w:lang w:val="en-US" w:eastAsia="en-US"/>
        </w:rPr>
        <w:t>Š</w:t>
      </w:r>
      <w:r>
        <w:rPr>
          <w:rFonts w:ascii="Arial" w:hAnsi="Arial" w:cs="Arial"/>
          <w:b/>
          <w:lang w:val="en-US" w:eastAsia="en-US"/>
        </w:rPr>
        <w:t xml:space="preserve"> </w:t>
      </w:r>
      <w:r w:rsidRPr="0068665B">
        <w:rPr>
          <w:rFonts w:ascii="Arial" w:hAnsi="Arial" w:cs="Arial"/>
          <w:b/>
          <w:lang w:val="en-US" w:eastAsia="en-US"/>
        </w:rPr>
        <w:t>E</w:t>
      </w:r>
      <w:r>
        <w:rPr>
          <w:rFonts w:ascii="Arial" w:hAnsi="Arial" w:cs="Arial"/>
          <w:b/>
          <w:lang w:val="en-US" w:eastAsia="en-US"/>
        </w:rPr>
        <w:t xml:space="preserve"> </w:t>
      </w:r>
      <w:r w:rsidRPr="0068665B">
        <w:rPr>
          <w:rFonts w:ascii="Arial" w:hAnsi="Arial" w:cs="Arial"/>
          <w:b/>
          <w:lang w:val="en-US" w:eastAsia="en-US"/>
        </w:rPr>
        <w:t>NJ</w:t>
      </w:r>
      <w:r>
        <w:rPr>
          <w:rFonts w:ascii="Arial" w:hAnsi="Arial" w:cs="Arial"/>
          <w:b/>
          <w:lang w:val="en-US" w:eastAsia="en-US"/>
        </w:rPr>
        <w:t xml:space="preserve"> </w:t>
      </w:r>
      <w:r w:rsidRPr="0068665B">
        <w:rPr>
          <w:rFonts w:ascii="Arial" w:hAnsi="Arial" w:cs="Arial"/>
          <w:b/>
          <w:lang w:val="en-US" w:eastAsia="en-US"/>
        </w:rPr>
        <w:t>E</w:t>
      </w:r>
    </w:p>
    <w:p w14:paraId="629561AD" w14:textId="77777777" w:rsidR="0068665B" w:rsidRDefault="0068665B" w:rsidP="0068665B">
      <w:pPr>
        <w:ind w:left="23"/>
        <w:jc w:val="center"/>
        <w:rPr>
          <w:rFonts w:ascii="Arial" w:hAnsi="Arial" w:cs="Arial"/>
          <w:b/>
          <w:lang w:val="en-US" w:eastAsia="en-US"/>
        </w:rPr>
      </w:pPr>
    </w:p>
    <w:p w14:paraId="17D11213" w14:textId="7AB9918C" w:rsidR="0068665B" w:rsidRDefault="0060733D" w:rsidP="00554037">
      <w:pPr>
        <w:ind w:left="23"/>
        <w:jc w:val="both"/>
        <w:rPr>
          <w:rFonts w:ascii="Arial" w:hAnsi="Arial" w:cs="Arial"/>
          <w:lang w:val="en-US" w:eastAsia="en-US"/>
        </w:rPr>
      </w:pPr>
      <w:r>
        <w:rPr>
          <w:rFonts w:ascii="Arial" w:hAnsi="Arial" w:cs="Arial"/>
          <w:b/>
          <w:lang w:val="en-US" w:eastAsia="en-US"/>
        </w:rPr>
        <w:t>1. Izdaje se obnovljena</w:t>
      </w:r>
      <w:r w:rsidR="00F4103F">
        <w:rPr>
          <w:rFonts w:ascii="Arial" w:hAnsi="Arial" w:cs="Arial"/>
          <w:b/>
          <w:lang w:val="en-US" w:eastAsia="en-US"/>
        </w:rPr>
        <w:t xml:space="preserve"> okolinska dozvola</w:t>
      </w:r>
      <w:r w:rsidR="00554037">
        <w:rPr>
          <w:rFonts w:ascii="Arial" w:hAnsi="Arial" w:cs="Arial"/>
          <w:b/>
          <w:lang w:val="en-US" w:eastAsia="en-US"/>
        </w:rPr>
        <w:t xml:space="preserve"> </w:t>
      </w:r>
      <w:r w:rsidR="00554037">
        <w:rPr>
          <w:rFonts w:ascii="Arial" w:hAnsi="Arial" w:cs="Arial"/>
          <w:lang w:val="en-US" w:eastAsia="en-US"/>
        </w:rPr>
        <w:t>investit</w:t>
      </w:r>
      <w:r w:rsidR="00F4103F">
        <w:rPr>
          <w:rFonts w:ascii="Arial" w:hAnsi="Arial" w:cs="Arial"/>
          <w:lang w:val="en-US" w:eastAsia="en-US"/>
        </w:rPr>
        <w:t>o</w:t>
      </w:r>
      <w:r w:rsidR="00554037">
        <w:rPr>
          <w:rFonts w:ascii="Arial" w:hAnsi="Arial" w:cs="Arial"/>
          <w:lang w:val="en-US" w:eastAsia="en-US"/>
        </w:rPr>
        <w:t>ru “IBRA” d.o.o. Tuzla, za pogon za toplo pocinčvanja metalnih pozicija – cinkaone.</w:t>
      </w:r>
    </w:p>
    <w:p w14:paraId="4AAF2FC7" w14:textId="2BA310DE" w:rsidR="00554037" w:rsidRDefault="00D06989" w:rsidP="00554037">
      <w:pPr>
        <w:pStyle w:val="Default"/>
        <w:jc w:val="both"/>
        <w:rPr>
          <w:rFonts w:ascii="Arial" w:hAnsi="Arial" w:cs="Arial"/>
        </w:rPr>
      </w:pPr>
      <w:r>
        <w:rPr>
          <w:rFonts w:ascii="Arial" w:hAnsi="Arial" w:cs="Arial"/>
          <w:lang w:val="en-US" w:eastAsia="en-US"/>
        </w:rPr>
        <w:t xml:space="preserve">Pogon za toplo pocinčavanje </w:t>
      </w:r>
      <w:r w:rsidR="00554037">
        <w:rPr>
          <w:rFonts w:ascii="Arial" w:hAnsi="Arial" w:cs="Arial"/>
          <w:lang w:val="en-US" w:eastAsia="en-US"/>
        </w:rPr>
        <w:t>metalnih pozicija – cinkaone nalazi se u naselju Miladije, na parceli označenoj kao k..č. 2624/6, 2625/5, 2</w:t>
      </w:r>
      <w:r w:rsidR="00F110B3">
        <w:rPr>
          <w:rFonts w:ascii="Arial" w:hAnsi="Arial" w:cs="Arial"/>
          <w:lang w:val="en-US" w:eastAsia="en-US"/>
        </w:rPr>
        <w:t xml:space="preserve">624/5, 2625/2, 2624/4, 2624/8 i </w:t>
      </w:r>
      <w:r w:rsidR="00554037">
        <w:rPr>
          <w:rFonts w:ascii="Arial" w:hAnsi="Arial" w:cs="Arial"/>
          <w:lang w:val="en-US" w:eastAsia="en-US"/>
        </w:rPr>
        <w:t xml:space="preserve">2624/9, koje pripadaju katastarskoj općini K.O. Tuzla IV broj plana 86, Grad Tuzla. </w:t>
      </w:r>
      <w:r w:rsidR="00554037" w:rsidRPr="006B6F80">
        <w:rPr>
          <w:rFonts w:ascii="Arial" w:hAnsi="Arial" w:cs="Arial"/>
        </w:rPr>
        <w:t xml:space="preserve">Ukupna površina predmetne parcela iznosi </w:t>
      </w:r>
      <w:r w:rsidR="00554037">
        <w:rPr>
          <w:rFonts w:ascii="Arial" w:hAnsi="Arial" w:cs="Arial"/>
        </w:rPr>
        <w:t xml:space="preserve">6.500 </w:t>
      </w:r>
      <w:r w:rsidR="00554037" w:rsidRPr="006B6F80">
        <w:rPr>
          <w:rFonts w:ascii="Arial" w:hAnsi="Arial" w:cs="Arial"/>
        </w:rPr>
        <w:t>m</w:t>
      </w:r>
      <w:r w:rsidR="00554037" w:rsidRPr="006B6F80">
        <w:rPr>
          <w:rFonts w:ascii="Arial" w:hAnsi="Arial" w:cs="Arial"/>
          <w:vertAlign w:val="superscript"/>
        </w:rPr>
        <w:t>2</w:t>
      </w:r>
      <w:r w:rsidR="00554037" w:rsidRPr="006B6F80">
        <w:rPr>
          <w:rFonts w:ascii="Arial" w:hAnsi="Arial" w:cs="Arial"/>
        </w:rPr>
        <w:t xml:space="preserve">. </w:t>
      </w:r>
    </w:p>
    <w:p w14:paraId="3DC8CD12" w14:textId="77777777" w:rsidR="00554037" w:rsidRDefault="00554037" w:rsidP="00554037">
      <w:pPr>
        <w:pStyle w:val="Default"/>
        <w:jc w:val="both"/>
        <w:rPr>
          <w:rFonts w:ascii="Arial" w:hAnsi="Arial" w:cs="Arial"/>
        </w:rPr>
      </w:pPr>
    </w:p>
    <w:p w14:paraId="5B6FF4F8" w14:textId="77777777" w:rsidR="00554037" w:rsidRDefault="00554037" w:rsidP="00554037">
      <w:pPr>
        <w:pStyle w:val="Default"/>
        <w:jc w:val="both"/>
        <w:rPr>
          <w:rFonts w:ascii="Arial" w:hAnsi="Arial" w:cs="Arial"/>
          <w:b/>
        </w:rPr>
      </w:pPr>
      <w:r w:rsidRPr="00BD3D63">
        <w:rPr>
          <w:rFonts w:ascii="Arial" w:hAnsi="Arial" w:cs="Arial"/>
          <w:b/>
        </w:rPr>
        <w:t>2.</w:t>
      </w:r>
      <w:r>
        <w:rPr>
          <w:rFonts w:ascii="Arial" w:hAnsi="Arial" w:cs="Arial"/>
        </w:rPr>
        <w:t xml:space="preserve"> </w:t>
      </w:r>
      <w:r>
        <w:rPr>
          <w:rFonts w:ascii="Arial" w:hAnsi="Arial" w:cs="Arial"/>
          <w:b/>
        </w:rPr>
        <w:t xml:space="preserve">Pogoni i postrojenja za koje se izdaje okolinska dozvola </w:t>
      </w:r>
    </w:p>
    <w:p w14:paraId="7115A83B" w14:textId="77777777" w:rsidR="00EA2B41" w:rsidRDefault="00EA2B41" w:rsidP="00554037">
      <w:pPr>
        <w:pStyle w:val="Default"/>
        <w:jc w:val="both"/>
        <w:rPr>
          <w:rFonts w:ascii="Arial" w:hAnsi="Arial" w:cs="Arial"/>
        </w:rPr>
      </w:pPr>
      <w:r>
        <w:rPr>
          <w:rFonts w:ascii="Arial" w:hAnsi="Arial" w:cs="Arial"/>
        </w:rPr>
        <w:t>Na lokalitetu predmetnog pogona nalaze se sljedeći objekti:</w:t>
      </w:r>
    </w:p>
    <w:p w14:paraId="66E3CCFA" w14:textId="77777777" w:rsidR="00EA2B41" w:rsidRDefault="00EA2B41" w:rsidP="00EA2B41">
      <w:pPr>
        <w:pStyle w:val="Default"/>
        <w:numPr>
          <w:ilvl w:val="0"/>
          <w:numId w:val="1"/>
        </w:numPr>
        <w:jc w:val="both"/>
        <w:rPr>
          <w:rFonts w:ascii="Arial" w:hAnsi="Arial" w:cs="Arial"/>
        </w:rPr>
      </w:pPr>
      <w:r>
        <w:rPr>
          <w:rFonts w:ascii="Arial" w:hAnsi="Arial" w:cs="Arial"/>
        </w:rPr>
        <w:t>Upravni objekti – kancelarije</w:t>
      </w:r>
      <w:r w:rsidR="00CA640B">
        <w:rPr>
          <w:rFonts w:ascii="Arial" w:hAnsi="Arial" w:cs="Arial"/>
        </w:rPr>
        <w:t>,</w:t>
      </w:r>
    </w:p>
    <w:p w14:paraId="4C3B823D" w14:textId="77777777" w:rsidR="00EA2B41" w:rsidRDefault="00EA2B41" w:rsidP="00EA2B41">
      <w:pPr>
        <w:pStyle w:val="Default"/>
        <w:numPr>
          <w:ilvl w:val="0"/>
          <w:numId w:val="1"/>
        </w:numPr>
        <w:jc w:val="both"/>
        <w:rPr>
          <w:rFonts w:ascii="Arial" w:hAnsi="Arial" w:cs="Arial"/>
        </w:rPr>
      </w:pPr>
      <w:r>
        <w:rPr>
          <w:rFonts w:ascii="Arial" w:hAnsi="Arial" w:cs="Arial"/>
        </w:rPr>
        <w:t>Portirnica</w:t>
      </w:r>
      <w:r w:rsidR="00CA640B">
        <w:rPr>
          <w:rFonts w:ascii="Arial" w:hAnsi="Arial" w:cs="Arial"/>
        </w:rPr>
        <w:t>,</w:t>
      </w:r>
    </w:p>
    <w:p w14:paraId="22003BD3" w14:textId="77777777" w:rsidR="00EA2B41" w:rsidRDefault="00EA2B41" w:rsidP="00EA2B41">
      <w:pPr>
        <w:pStyle w:val="Default"/>
        <w:numPr>
          <w:ilvl w:val="0"/>
          <w:numId w:val="1"/>
        </w:numPr>
        <w:jc w:val="both"/>
        <w:rPr>
          <w:rFonts w:ascii="Arial" w:hAnsi="Arial" w:cs="Arial"/>
        </w:rPr>
      </w:pPr>
      <w:r>
        <w:rPr>
          <w:rFonts w:ascii="Arial" w:hAnsi="Arial" w:cs="Arial"/>
        </w:rPr>
        <w:t>Građevinski objekat – čelična hala I</w:t>
      </w:r>
      <w:r w:rsidR="00CA640B">
        <w:rPr>
          <w:rFonts w:ascii="Arial" w:hAnsi="Arial" w:cs="Arial"/>
        </w:rPr>
        <w:t>,</w:t>
      </w:r>
    </w:p>
    <w:p w14:paraId="7E03C313" w14:textId="77777777" w:rsidR="00EA2B41" w:rsidRDefault="00EA2B41" w:rsidP="00EA2B41">
      <w:pPr>
        <w:pStyle w:val="Default"/>
        <w:numPr>
          <w:ilvl w:val="0"/>
          <w:numId w:val="1"/>
        </w:numPr>
        <w:jc w:val="both"/>
        <w:rPr>
          <w:rFonts w:ascii="Arial" w:hAnsi="Arial" w:cs="Arial"/>
        </w:rPr>
      </w:pPr>
      <w:r>
        <w:rPr>
          <w:rFonts w:ascii="Arial" w:hAnsi="Arial" w:cs="Arial"/>
        </w:rPr>
        <w:t>Građevinski objekat – čelična hala II</w:t>
      </w:r>
      <w:r w:rsidR="00CA640B">
        <w:rPr>
          <w:rFonts w:ascii="Arial" w:hAnsi="Arial" w:cs="Arial"/>
        </w:rPr>
        <w:t>,</w:t>
      </w:r>
    </w:p>
    <w:p w14:paraId="715F9D4C" w14:textId="77777777" w:rsidR="00EA2B41" w:rsidRDefault="00EA2B41" w:rsidP="00EA2B41">
      <w:pPr>
        <w:pStyle w:val="Default"/>
        <w:numPr>
          <w:ilvl w:val="0"/>
          <w:numId w:val="1"/>
        </w:numPr>
        <w:jc w:val="both"/>
        <w:rPr>
          <w:rFonts w:ascii="Arial" w:hAnsi="Arial" w:cs="Arial"/>
        </w:rPr>
      </w:pPr>
      <w:r>
        <w:rPr>
          <w:rFonts w:ascii="Arial" w:hAnsi="Arial" w:cs="Arial"/>
        </w:rPr>
        <w:t>Građevinski objekat – čelična hala ( skladište)</w:t>
      </w:r>
      <w:r w:rsidR="00CA640B">
        <w:rPr>
          <w:rFonts w:ascii="Arial" w:hAnsi="Arial" w:cs="Arial"/>
        </w:rPr>
        <w:t>,</w:t>
      </w:r>
    </w:p>
    <w:p w14:paraId="7C224DF0" w14:textId="77777777" w:rsidR="00EA2B41" w:rsidRDefault="00EA2B41" w:rsidP="00EA2B41">
      <w:pPr>
        <w:pStyle w:val="Default"/>
        <w:numPr>
          <w:ilvl w:val="0"/>
          <w:numId w:val="1"/>
        </w:numPr>
        <w:jc w:val="both"/>
        <w:rPr>
          <w:rFonts w:ascii="Arial" w:hAnsi="Arial" w:cs="Arial"/>
        </w:rPr>
      </w:pPr>
      <w:r>
        <w:rPr>
          <w:rFonts w:ascii="Arial" w:hAnsi="Arial" w:cs="Arial"/>
        </w:rPr>
        <w:t>Nadstrešnica I</w:t>
      </w:r>
      <w:r w:rsidR="00CA640B">
        <w:rPr>
          <w:rFonts w:ascii="Arial" w:hAnsi="Arial" w:cs="Arial"/>
        </w:rPr>
        <w:t>,</w:t>
      </w:r>
    </w:p>
    <w:p w14:paraId="4B14EE97" w14:textId="77777777" w:rsidR="00EA2B41" w:rsidRDefault="00EA2B41" w:rsidP="00EA2B41">
      <w:pPr>
        <w:pStyle w:val="Default"/>
        <w:numPr>
          <w:ilvl w:val="0"/>
          <w:numId w:val="1"/>
        </w:numPr>
        <w:jc w:val="both"/>
        <w:rPr>
          <w:rFonts w:ascii="Arial" w:hAnsi="Arial" w:cs="Arial"/>
        </w:rPr>
      </w:pPr>
      <w:r>
        <w:rPr>
          <w:rFonts w:ascii="Arial" w:hAnsi="Arial" w:cs="Arial"/>
        </w:rPr>
        <w:t>Nadstrešnica II</w:t>
      </w:r>
      <w:r w:rsidR="00CA640B">
        <w:rPr>
          <w:rFonts w:ascii="Arial" w:hAnsi="Arial" w:cs="Arial"/>
        </w:rPr>
        <w:t>,</w:t>
      </w:r>
    </w:p>
    <w:p w14:paraId="7D12012D" w14:textId="77777777" w:rsidR="00EA2B41" w:rsidRDefault="00EA2B41" w:rsidP="00EA2B41">
      <w:pPr>
        <w:pStyle w:val="Default"/>
        <w:numPr>
          <w:ilvl w:val="0"/>
          <w:numId w:val="1"/>
        </w:numPr>
        <w:jc w:val="both"/>
        <w:rPr>
          <w:rFonts w:ascii="Arial" w:hAnsi="Arial" w:cs="Arial"/>
        </w:rPr>
      </w:pPr>
      <w:r>
        <w:rPr>
          <w:rFonts w:ascii="Arial" w:hAnsi="Arial" w:cs="Arial"/>
        </w:rPr>
        <w:t>Plato i manipulativne saobračajnice</w:t>
      </w:r>
      <w:r w:rsidR="00CA640B">
        <w:rPr>
          <w:rFonts w:ascii="Arial" w:hAnsi="Arial" w:cs="Arial"/>
        </w:rPr>
        <w:t>,</w:t>
      </w:r>
    </w:p>
    <w:p w14:paraId="36C411E3" w14:textId="77777777" w:rsidR="00EA2B41" w:rsidRDefault="00EA2B41" w:rsidP="00EA2B41">
      <w:pPr>
        <w:pStyle w:val="Default"/>
        <w:numPr>
          <w:ilvl w:val="0"/>
          <w:numId w:val="1"/>
        </w:numPr>
        <w:jc w:val="both"/>
        <w:rPr>
          <w:rFonts w:ascii="Arial" w:hAnsi="Arial" w:cs="Arial"/>
        </w:rPr>
      </w:pPr>
      <w:r>
        <w:rPr>
          <w:rFonts w:ascii="Arial" w:hAnsi="Arial" w:cs="Arial"/>
        </w:rPr>
        <w:t>Objekat trafostanice</w:t>
      </w:r>
      <w:r w:rsidR="00CA640B">
        <w:rPr>
          <w:rFonts w:ascii="Arial" w:hAnsi="Arial" w:cs="Arial"/>
        </w:rPr>
        <w:t>,</w:t>
      </w:r>
    </w:p>
    <w:p w14:paraId="1AEEF2BB" w14:textId="77777777" w:rsidR="00EA2B41" w:rsidRDefault="00EA2B41" w:rsidP="00EA2B41">
      <w:pPr>
        <w:pStyle w:val="Default"/>
        <w:numPr>
          <w:ilvl w:val="0"/>
          <w:numId w:val="1"/>
        </w:numPr>
        <w:jc w:val="both"/>
        <w:rPr>
          <w:rFonts w:ascii="Arial" w:hAnsi="Arial" w:cs="Arial"/>
        </w:rPr>
      </w:pPr>
      <w:r>
        <w:rPr>
          <w:rFonts w:ascii="Arial" w:hAnsi="Arial" w:cs="Arial"/>
        </w:rPr>
        <w:t xml:space="preserve">Sanitarni čvor </w:t>
      </w:r>
      <w:r w:rsidR="00CA640B">
        <w:rPr>
          <w:rFonts w:ascii="Arial" w:hAnsi="Arial" w:cs="Arial"/>
        </w:rPr>
        <w:t>.</w:t>
      </w:r>
    </w:p>
    <w:p w14:paraId="5BE2AB6D" w14:textId="77777777" w:rsidR="00CA640B" w:rsidRDefault="00CA640B" w:rsidP="00CA640B">
      <w:pPr>
        <w:pStyle w:val="Default"/>
        <w:jc w:val="both"/>
        <w:rPr>
          <w:rFonts w:ascii="Arial" w:hAnsi="Arial" w:cs="Arial"/>
        </w:rPr>
      </w:pPr>
    </w:p>
    <w:p w14:paraId="21D756FB" w14:textId="77777777" w:rsidR="00CA640B" w:rsidRDefault="00CA640B" w:rsidP="00CA640B">
      <w:pPr>
        <w:pStyle w:val="Default"/>
        <w:jc w:val="both"/>
        <w:rPr>
          <w:rFonts w:ascii="Arial" w:hAnsi="Arial" w:cs="Arial"/>
        </w:rPr>
      </w:pPr>
      <w:r>
        <w:rPr>
          <w:rFonts w:ascii="Arial" w:hAnsi="Arial" w:cs="Arial"/>
        </w:rPr>
        <w:t>U građevinskom objektu hala II (dimenzi</w:t>
      </w:r>
      <w:r w:rsidR="00D7776E">
        <w:rPr>
          <w:rFonts w:ascii="Arial" w:hAnsi="Arial" w:cs="Arial"/>
        </w:rPr>
        <w:t>ja 20x40 m) instali</w:t>
      </w:r>
      <w:r>
        <w:rPr>
          <w:rFonts w:ascii="Arial" w:hAnsi="Arial" w:cs="Arial"/>
        </w:rPr>
        <w:t xml:space="preserve">rana je oprema </w:t>
      </w:r>
      <w:r w:rsidR="00D7776E">
        <w:rPr>
          <w:rFonts w:ascii="Arial" w:hAnsi="Arial" w:cs="Arial"/>
        </w:rPr>
        <w:t>za toplo pocinčavanje metalnih pozicija koja se sastoji od kada ukopanih u zemlju, ukupne zpremine 112 m</w:t>
      </w:r>
      <w:r w:rsidR="00D7776E">
        <w:rPr>
          <w:rFonts w:ascii="Arial" w:hAnsi="Arial" w:cs="Arial"/>
          <w:vertAlign w:val="superscript"/>
        </w:rPr>
        <w:t xml:space="preserve">3 </w:t>
      </w:r>
      <w:r w:rsidR="00D7776E">
        <w:rPr>
          <w:rFonts w:ascii="Arial" w:hAnsi="Arial" w:cs="Arial"/>
        </w:rPr>
        <w:t>, od kojih se u 4 kade primjenjuje hemijski postupak (4 x 16 m</w:t>
      </w:r>
      <w:r w:rsidR="00D7776E">
        <w:rPr>
          <w:rFonts w:ascii="Arial" w:hAnsi="Arial" w:cs="Arial"/>
          <w:vertAlign w:val="superscript"/>
        </w:rPr>
        <w:t xml:space="preserve">3  </w:t>
      </w:r>
      <w:r w:rsidR="00D7776E">
        <w:rPr>
          <w:rFonts w:ascii="Arial" w:hAnsi="Arial" w:cs="Arial"/>
        </w:rPr>
        <w:t>= 64 m</w:t>
      </w:r>
      <w:r w:rsidR="00D7776E">
        <w:rPr>
          <w:rFonts w:ascii="Arial" w:hAnsi="Arial" w:cs="Arial"/>
          <w:vertAlign w:val="superscript"/>
        </w:rPr>
        <w:t xml:space="preserve">3 </w:t>
      </w:r>
      <w:r w:rsidR="00D7776E">
        <w:rPr>
          <w:rFonts w:ascii="Arial" w:hAnsi="Arial" w:cs="Arial"/>
        </w:rPr>
        <w:t>), dok se u ostalim kadama ( 3 x 16 m</w:t>
      </w:r>
      <w:r w:rsidR="00D7776E">
        <w:rPr>
          <w:rFonts w:ascii="Arial" w:hAnsi="Arial" w:cs="Arial"/>
          <w:vertAlign w:val="superscript"/>
        </w:rPr>
        <w:t xml:space="preserve">3 </w:t>
      </w:r>
      <w:r w:rsidR="00D7776E">
        <w:rPr>
          <w:rFonts w:ascii="Arial" w:hAnsi="Arial" w:cs="Arial"/>
        </w:rPr>
        <w:t>= 48 m</w:t>
      </w:r>
      <w:r w:rsidR="00D7776E">
        <w:rPr>
          <w:rFonts w:ascii="Arial" w:hAnsi="Arial" w:cs="Arial"/>
          <w:vertAlign w:val="superscript"/>
        </w:rPr>
        <w:t>3</w:t>
      </w:r>
      <w:r w:rsidR="00D7776E">
        <w:rPr>
          <w:rFonts w:ascii="Arial" w:hAnsi="Arial" w:cs="Arial"/>
        </w:rPr>
        <w:t xml:space="preserve"> ) odvijaju tehnološki procesi u kojima se ne primjenjuje hemijski postupak.</w:t>
      </w:r>
    </w:p>
    <w:p w14:paraId="5D30A19D" w14:textId="77777777" w:rsidR="00DC2995" w:rsidRDefault="00DC2995" w:rsidP="00CA640B">
      <w:pPr>
        <w:pStyle w:val="Default"/>
        <w:jc w:val="both"/>
        <w:rPr>
          <w:rFonts w:ascii="Arial" w:hAnsi="Arial" w:cs="Arial"/>
        </w:rPr>
      </w:pPr>
    </w:p>
    <w:p w14:paraId="1B5191EA" w14:textId="77777777" w:rsidR="00423639" w:rsidRDefault="00423639" w:rsidP="00CA640B">
      <w:pPr>
        <w:pStyle w:val="Default"/>
        <w:jc w:val="both"/>
        <w:rPr>
          <w:rFonts w:ascii="Arial" w:hAnsi="Arial" w:cs="Arial"/>
        </w:rPr>
      </w:pPr>
    </w:p>
    <w:p w14:paraId="2DB4FA59" w14:textId="72D9745A" w:rsidR="00DC2995" w:rsidRDefault="00DC2995" w:rsidP="00CA640B">
      <w:pPr>
        <w:pStyle w:val="Default"/>
        <w:jc w:val="both"/>
        <w:rPr>
          <w:rFonts w:ascii="Arial" w:hAnsi="Arial" w:cs="Arial"/>
        </w:rPr>
      </w:pPr>
      <w:r>
        <w:rPr>
          <w:rFonts w:ascii="Arial" w:hAnsi="Arial" w:cs="Arial"/>
        </w:rPr>
        <w:lastRenderedPageBreak/>
        <w:t>Udaljenost p</w:t>
      </w:r>
      <w:r w:rsidR="00A10558">
        <w:rPr>
          <w:rFonts w:ascii="Arial" w:hAnsi="Arial" w:cs="Arial"/>
        </w:rPr>
        <w:t>og</w:t>
      </w:r>
      <w:r>
        <w:rPr>
          <w:rFonts w:ascii="Arial" w:hAnsi="Arial" w:cs="Arial"/>
        </w:rPr>
        <w:t>ona za toplo pocinčavanje metalnih pozicija – cinkaona od najbližih naselja, vodotoka,</w:t>
      </w:r>
      <w:r w:rsidR="00A10558">
        <w:rPr>
          <w:rFonts w:ascii="Arial" w:hAnsi="Arial" w:cs="Arial"/>
        </w:rPr>
        <w:t xml:space="preserve"> </w:t>
      </w:r>
      <w:r>
        <w:rPr>
          <w:rFonts w:ascii="Arial" w:hAnsi="Arial" w:cs="Arial"/>
        </w:rPr>
        <w:t>šuma, zaštićenih područja i drugih osjetljivih područja:</w:t>
      </w:r>
    </w:p>
    <w:p w14:paraId="12F4FAE8" w14:textId="77777777" w:rsidR="00DC2995" w:rsidRDefault="00DC2995" w:rsidP="00BD3D63">
      <w:pPr>
        <w:pStyle w:val="Default"/>
        <w:numPr>
          <w:ilvl w:val="0"/>
          <w:numId w:val="1"/>
        </w:numPr>
        <w:jc w:val="both"/>
        <w:rPr>
          <w:rFonts w:ascii="Arial" w:hAnsi="Arial" w:cs="Arial"/>
        </w:rPr>
      </w:pPr>
      <w:r>
        <w:rPr>
          <w:rFonts w:ascii="Arial" w:hAnsi="Arial" w:cs="Arial"/>
        </w:rPr>
        <w:t>Udaljenost pogona od regulisanog vodotoka rijeke Jale je oko 270,00 m,</w:t>
      </w:r>
    </w:p>
    <w:p w14:paraId="5B4A5033" w14:textId="77777777" w:rsidR="00DC2995" w:rsidRDefault="00DC2995" w:rsidP="00BD3D63">
      <w:pPr>
        <w:pStyle w:val="Default"/>
        <w:numPr>
          <w:ilvl w:val="0"/>
          <w:numId w:val="1"/>
        </w:numPr>
        <w:jc w:val="both"/>
        <w:rPr>
          <w:rFonts w:ascii="Arial" w:hAnsi="Arial" w:cs="Arial"/>
        </w:rPr>
      </w:pPr>
      <w:r>
        <w:rPr>
          <w:rFonts w:ascii="Arial" w:hAnsi="Arial" w:cs="Arial"/>
        </w:rPr>
        <w:t>Udaljenost pogona od susjednih poslovnih objekata je oko 65.00 m,</w:t>
      </w:r>
    </w:p>
    <w:p w14:paraId="4CF39E07" w14:textId="77777777" w:rsidR="00DC2995" w:rsidRDefault="00DC2995" w:rsidP="00BD3D63">
      <w:pPr>
        <w:pStyle w:val="Default"/>
        <w:numPr>
          <w:ilvl w:val="0"/>
          <w:numId w:val="1"/>
        </w:numPr>
        <w:jc w:val="both"/>
        <w:rPr>
          <w:rFonts w:ascii="Arial" w:hAnsi="Arial" w:cs="Arial"/>
        </w:rPr>
      </w:pPr>
      <w:r>
        <w:rPr>
          <w:rFonts w:ascii="Arial" w:hAnsi="Arial" w:cs="Arial"/>
        </w:rPr>
        <w:t>Udaljenost pogona od susjednih individualnih objekata je oko 60,00 m,</w:t>
      </w:r>
    </w:p>
    <w:p w14:paraId="390242CB" w14:textId="24936D8E" w:rsidR="00DC2995" w:rsidRDefault="00DC2995" w:rsidP="00BD3D63">
      <w:pPr>
        <w:pStyle w:val="Default"/>
        <w:numPr>
          <w:ilvl w:val="0"/>
          <w:numId w:val="1"/>
        </w:numPr>
        <w:jc w:val="both"/>
        <w:rPr>
          <w:rFonts w:ascii="Arial" w:hAnsi="Arial" w:cs="Arial"/>
        </w:rPr>
      </w:pPr>
      <w:r>
        <w:rPr>
          <w:rFonts w:ascii="Arial" w:hAnsi="Arial" w:cs="Arial"/>
        </w:rPr>
        <w:t>Udaljen</w:t>
      </w:r>
      <w:r w:rsidR="00423639">
        <w:rPr>
          <w:rFonts w:ascii="Arial" w:hAnsi="Arial" w:cs="Arial"/>
        </w:rPr>
        <w:t>ost pogona od susjednog stambeno</w:t>
      </w:r>
      <w:r>
        <w:rPr>
          <w:rFonts w:ascii="Arial" w:hAnsi="Arial" w:cs="Arial"/>
        </w:rPr>
        <w:t>g objekta je oko 200,00 m,</w:t>
      </w:r>
    </w:p>
    <w:p w14:paraId="26C92DD4" w14:textId="2E5EA979" w:rsidR="00DC2995" w:rsidRDefault="00DC2995" w:rsidP="00BD3D63">
      <w:pPr>
        <w:pStyle w:val="Default"/>
        <w:numPr>
          <w:ilvl w:val="0"/>
          <w:numId w:val="1"/>
        </w:numPr>
        <w:jc w:val="both"/>
        <w:rPr>
          <w:rFonts w:ascii="Arial" w:hAnsi="Arial" w:cs="Arial"/>
        </w:rPr>
      </w:pPr>
      <w:r>
        <w:rPr>
          <w:rFonts w:ascii="Arial" w:hAnsi="Arial" w:cs="Arial"/>
        </w:rPr>
        <w:t>Udaljenost pogona</w:t>
      </w:r>
      <w:r w:rsidR="00423639">
        <w:rPr>
          <w:rFonts w:ascii="Arial" w:hAnsi="Arial" w:cs="Arial"/>
        </w:rPr>
        <w:t xml:space="preserve"> od magistralnog puta M-4 je oko</w:t>
      </w:r>
      <w:r>
        <w:rPr>
          <w:rFonts w:ascii="Arial" w:hAnsi="Arial" w:cs="Arial"/>
        </w:rPr>
        <w:t xml:space="preserve"> 75,00 m,</w:t>
      </w:r>
    </w:p>
    <w:p w14:paraId="0EEFEDD1" w14:textId="77777777" w:rsidR="00DC2995" w:rsidRDefault="00DC2995" w:rsidP="00BD3D63">
      <w:pPr>
        <w:pStyle w:val="Default"/>
        <w:numPr>
          <w:ilvl w:val="0"/>
          <w:numId w:val="1"/>
        </w:numPr>
        <w:jc w:val="both"/>
        <w:rPr>
          <w:rFonts w:ascii="Arial" w:hAnsi="Arial" w:cs="Arial"/>
        </w:rPr>
      </w:pPr>
      <w:r>
        <w:rPr>
          <w:rFonts w:ascii="Arial" w:hAnsi="Arial" w:cs="Arial"/>
        </w:rPr>
        <w:t>Udaljenost pogona od lokalno pristupnog puta je oko 3,00 m,</w:t>
      </w:r>
    </w:p>
    <w:p w14:paraId="25832F90" w14:textId="77777777" w:rsidR="00DC2995" w:rsidRDefault="00DC2995" w:rsidP="00BD3D63">
      <w:pPr>
        <w:pStyle w:val="Default"/>
        <w:numPr>
          <w:ilvl w:val="0"/>
          <w:numId w:val="1"/>
        </w:numPr>
        <w:jc w:val="both"/>
        <w:rPr>
          <w:rFonts w:ascii="Arial" w:hAnsi="Arial" w:cs="Arial"/>
        </w:rPr>
      </w:pPr>
      <w:r>
        <w:rPr>
          <w:rFonts w:ascii="Arial" w:hAnsi="Arial" w:cs="Arial"/>
        </w:rPr>
        <w:t>U blizi nema zaštićenih područja i drugih osjetljivih područja.</w:t>
      </w:r>
    </w:p>
    <w:p w14:paraId="34C4697A" w14:textId="77777777" w:rsidR="00127CCB" w:rsidRDefault="00127CCB" w:rsidP="00127CCB">
      <w:pPr>
        <w:pStyle w:val="Default"/>
        <w:ind w:left="720"/>
        <w:jc w:val="both"/>
        <w:rPr>
          <w:rFonts w:ascii="Arial" w:hAnsi="Arial" w:cs="Arial"/>
        </w:rPr>
      </w:pPr>
    </w:p>
    <w:p w14:paraId="6E0F2FB4" w14:textId="77777777" w:rsidR="00BD3D63" w:rsidRDefault="00BD3D63" w:rsidP="00127CCB">
      <w:pPr>
        <w:pStyle w:val="Default"/>
        <w:rPr>
          <w:rFonts w:ascii="Arial" w:hAnsi="Arial" w:cs="Arial"/>
          <w:b/>
        </w:rPr>
      </w:pPr>
      <w:r w:rsidRPr="00BD3D63">
        <w:rPr>
          <w:rFonts w:ascii="Arial" w:hAnsi="Arial" w:cs="Arial"/>
          <w:b/>
        </w:rPr>
        <w:t xml:space="preserve">Kada broj 1. ( Toplo odmašćivanje) </w:t>
      </w:r>
    </w:p>
    <w:p w14:paraId="57A60A0B" w14:textId="1AE765DA" w:rsidR="00127CCB" w:rsidRDefault="00BD3D63" w:rsidP="00127CCB">
      <w:pPr>
        <w:pStyle w:val="Default"/>
        <w:rPr>
          <w:rFonts w:ascii="Arial" w:hAnsi="Arial" w:cs="Arial"/>
        </w:rPr>
      </w:pPr>
      <w:r>
        <w:rPr>
          <w:rFonts w:ascii="Arial" w:hAnsi="Arial" w:cs="Arial"/>
        </w:rPr>
        <w:t>Operacija: skidanje površinskih nečistoća odnosno grubo odmašćivanj</w:t>
      </w:r>
      <w:r w:rsidR="00127CCB">
        <w:rPr>
          <w:rFonts w:ascii="Arial" w:hAnsi="Arial" w:cs="Arial"/>
        </w:rPr>
        <w:t xml:space="preserve">e komada u trajanju  5- 10 min. </w:t>
      </w:r>
      <w:r w:rsidR="00423639">
        <w:rPr>
          <w:rFonts w:ascii="Arial" w:hAnsi="Arial" w:cs="Arial"/>
        </w:rPr>
        <w:t>Pogonski parametri: tem</w:t>
      </w:r>
      <w:r w:rsidRPr="00127CCB">
        <w:rPr>
          <w:rFonts w:ascii="Arial" w:hAnsi="Arial" w:cs="Arial"/>
        </w:rPr>
        <w:t>p</w:t>
      </w:r>
      <w:r w:rsidR="00423639">
        <w:rPr>
          <w:rFonts w:ascii="Arial" w:hAnsi="Arial" w:cs="Arial"/>
        </w:rPr>
        <w:t>e</w:t>
      </w:r>
      <w:r w:rsidRPr="00127CCB">
        <w:rPr>
          <w:rFonts w:ascii="Arial" w:hAnsi="Arial" w:cs="Arial"/>
        </w:rPr>
        <w:t>ratura kupke 60-95</w:t>
      </w:r>
      <w:r w:rsidR="00127CCB" w:rsidRPr="00127CCB">
        <w:rPr>
          <w:rFonts w:ascii="Arial" w:hAnsi="Arial" w:cs="Arial"/>
        </w:rPr>
        <w:t>°C, gustina kupke 1,035-1,074g/cm</w:t>
      </w:r>
      <w:r w:rsidR="00127CCB" w:rsidRPr="00127CCB">
        <w:rPr>
          <w:rFonts w:ascii="Arial" w:hAnsi="Arial" w:cs="Arial"/>
          <w:vertAlign w:val="superscript"/>
        </w:rPr>
        <w:t>3</w:t>
      </w:r>
      <w:r w:rsidR="00127CCB" w:rsidRPr="00127CCB">
        <w:rPr>
          <w:rFonts w:ascii="Arial" w:hAnsi="Arial" w:cs="Arial"/>
        </w:rPr>
        <w:t>.</w:t>
      </w:r>
    </w:p>
    <w:p w14:paraId="17DC395E" w14:textId="77777777" w:rsidR="00127CCB" w:rsidRDefault="00127CCB" w:rsidP="00127CCB">
      <w:pPr>
        <w:pStyle w:val="NoSpacing"/>
        <w:jc w:val="both"/>
        <w:rPr>
          <w:rFonts w:ascii="Arial" w:hAnsi="Arial" w:cs="Arial"/>
          <w:sz w:val="24"/>
          <w:szCs w:val="24"/>
          <w:lang w:val="hr-HR"/>
        </w:rPr>
      </w:pPr>
      <w:r>
        <w:rPr>
          <w:rFonts w:ascii="Arial" w:hAnsi="Arial" w:cs="Arial"/>
          <w:sz w:val="24"/>
          <w:szCs w:val="24"/>
          <w:lang w:val="hr-HR"/>
        </w:rPr>
        <w:t>Sastav kupke: emulgirajuće površinsko aktivne soli, soda, deterdžent, kiseli odmaščivač, bio razgradivi bez potrebe za ispiranjem.</w:t>
      </w:r>
    </w:p>
    <w:p w14:paraId="769177CD" w14:textId="77777777" w:rsidR="00127CCB" w:rsidRPr="00127CCB" w:rsidRDefault="00127CCB" w:rsidP="00127CCB">
      <w:pPr>
        <w:pStyle w:val="NoSpacing"/>
        <w:jc w:val="both"/>
        <w:rPr>
          <w:rFonts w:ascii="Arial" w:hAnsi="Arial" w:cs="Arial"/>
          <w:b/>
          <w:sz w:val="24"/>
          <w:szCs w:val="24"/>
          <w:lang w:val="hr-HR"/>
        </w:rPr>
      </w:pPr>
      <w:r w:rsidRPr="00127CCB">
        <w:rPr>
          <w:rFonts w:ascii="Arial" w:hAnsi="Arial" w:cs="Arial"/>
          <w:b/>
          <w:sz w:val="24"/>
          <w:szCs w:val="24"/>
          <w:lang w:val="hr-HR"/>
        </w:rPr>
        <w:t>Kada broj 2. ( Dekapiranje – postupak nagrizanja)</w:t>
      </w:r>
    </w:p>
    <w:p w14:paraId="45ADFD91" w14:textId="77777777" w:rsidR="00BD3D63" w:rsidRDefault="00127CCB" w:rsidP="00127CCB">
      <w:pPr>
        <w:pStyle w:val="Default"/>
        <w:rPr>
          <w:rFonts w:ascii="Arial" w:hAnsi="Arial" w:cs="Arial"/>
        </w:rPr>
      </w:pPr>
      <w:r>
        <w:rPr>
          <w:rFonts w:ascii="Arial" w:hAnsi="Arial" w:cs="Arial"/>
        </w:rPr>
        <w:t>Operacija: dekapiranje –nagrizanje komada tj.skidanje hrđe i drugih oksida u razblaženom HCl-u 15%, temperatura 5-15°C.</w:t>
      </w:r>
    </w:p>
    <w:p w14:paraId="3EE57486" w14:textId="77777777" w:rsidR="00127CCB" w:rsidRDefault="00127CCB" w:rsidP="00127CCB">
      <w:pPr>
        <w:pStyle w:val="Default"/>
        <w:rPr>
          <w:rFonts w:ascii="Arial" w:hAnsi="Arial" w:cs="Arial"/>
        </w:rPr>
      </w:pPr>
      <w:r>
        <w:rPr>
          <w:rFonts w:ascii="Arial" w:hAnsi="Arial" w:cs="Arial"/>
        </w:rPr>
        <w:t>Sastav kupke: HCl, demineralizovana voda 1:3</w:t>
      </w:r>
    </w:p>
    <w:p w14:paraId="03B41226" w14:textId="77777777" w:rsidR="00127CCB" w:rsidRDefault="00127CCB" w:rsidP="00127CCB">
      <w:pPr>
        <w:pStyle w:val="Default"/>
        <w:rPr>
          <w:rFonts w:ascii="Arial" w:hAnsi="Arial" w:cs="Arial"/>
        </w:rPr>
      </w:pPr>
      <w:r>
        <w:rPr>
          <w:rFonts w:ascii="Arial" w:hAnsi="Arial" w:cs="Arial"/>
        </w:rPr>
        <w:t>Mjerenje: jednom sedmično pehametrom</w:t>
      </w:r>
    </w:p>
    <w:p w14:paraId="2E28EAA3" w14:textId="77777777" w:rsidR="00127CCB" w:rsidRDefault="00127CCB" w:rsidP="00127CCB">
      <w:pPr>
        <w:pStyle w:val="Default"/>
        <w:rPr>
          <w:rFonts w:ascii="Arial" w:hAnsi="Arial" w:cs="Arial"/>
        </w:rPr>
      </w:pPr>
      <w:r>
        <w:rPr>
          <w:rFonts w:ascii="Arial" w:hAnsi="Arial" w:cs="Arial"/>
        </w:rPr>
        <w:t>Ojačavanje: nakon mjerenja po potrebi ojačavanje se vrši sa nerazblaženim HCl-om 35%.</w:t>
      </w:r>
    </w:p>
    <w:p w14:paraId="72BE36D8" w14:textId="77777777" w:rsidR="00127CCB" w:rsidRDefault="00127CCB" w:rsidP="00127CCB">
      <w:pPr>
        <w:pStyle w:val="Default"/>
        <w:rPr>
          <w:rFonts w:ascii="Arial" w:hAnsi="Arial" w:cs="Arial"/>
          <w:b/>
        </w:rPr>
      </w:pPr>
      <w:r w:rsidRPr="00127CCB">
        <w:rPr>
          <w:rFonts w:ascii="Arial" w:hAnsi="Arial" w:cs="Arial"/>
          <w:b/>
        </w:rPr>
        <w:t>Kada broj 3. (Ispiranje)</w:t>
      </w:r>
    </w:p>
    <w:p w14:paraId="064AEF30" w14:textId="77777777" w:rsidR="00127CCB" w:rsidRDefault="00127CCB" w:rsidP="00127CCB">
      <w:pPr>
        <w:pStyle w:val="Default"/>
        <w:rPr>
          <w:rFonts w:ascii="Arial" w:hAnsi="Arial" w:cs="Arial"/>
        </w:rPr>
      </w:pPr>
      <w:r>
        <w:rPr>
          <w:rFonts w:ascii="Arial" w:hAnsi="Arial" w:cs="Arial"/>
        </w:rPr>
        <w:t>Operacija: ispiranje metalnih komada u hladnoj protočnoj vodi temperature 5 – 15 °C u trajanju 0,5 min.</w:t>
      </w:r>
    </w:p>
    <w:p w14:paraId="03C6BB84" w14:textId="77777777" w:rsidR="00127CCB" w:rsidRDefault="00127CCB" w:rsidP="00127CCB">
      <w:pPr>
        <w:pStyle w:val="Default"/>
        <w:rPr>
          <w:rFonts w:ascii="Arial" w:hAnsi="Arial" w:cs="Arial"/>
          <w:b/>
        </w:rPr>
      </w:pPr>
      <w:r w:rsidRPr="00127CCB">
        <w:rPr>
          <w:rFonts w:ascii="Arial" w:hAnsi="Arial" w:cs="Arial"/>
          <w:b/>
        </w:rPr>
        <w:t xml:space="preserve">Kada broj 4. (Fluksovanje) </w:t>
      </w:r>
    </w:p>
    <w:p w14:paraId="7A145778" w14:textId="77777777" w:rsidR="00127CCB" w:rsidRDefault="00C60764" w:rsidP="00127CCB">
      <w:pPr>
        <w:pStyle w:val="Default"/>
        <w:rPr>
          <w:rFonts w:ascii="Arial" w:hAnsi="Arial" w:cs="Arial"/>
        </w:rPr>
      </w:pPr>
      <w:r w:rsidRPr="00C60764">
        <w:rPr>
          <w:rFonts w:ascii="Arial" w:hAnsi="Arial" w:cs="Arial"/>
        </w:rPr>
        <w:t>Operacija: potapanje metalnih komada u rastvor fluksa radi kvalitetnije i postojanije prevlake cinka u trajanju od 1 minute.</w:t>
      </w:r>
    </w:p>
    <w:p w14:paraId="796C9059" w14:textId="77777777" w:rsidR="00C60764" w:rsidRDefault="00C60764" w:rsidP="00127CCB">
      <w:pPr>
        <w:pStyle w:val="Default"/>
        <w:rPr>
          <w:rFonts w:ascii="Arial" w:hAnsi="Arial" w:cs="Arial"/>
        </w:rPr>
      </w:pPr>
      <w:r>
        <w:rPr>
          <w:rFonts w:ascii="Arial" w:hAnsi="Arial" w:cs="Arial"/>
        </w:rPr>
        <w:t>Pogonski parametri: temperatura 35 – 55 °C i pH 3,5 – 4,5.</w:t>
      </w:r>
    </w:p>
    <w:p w14:paraId="54EAACFA" w14:textId="77777777" w:rsidR="00C60764" w:rsidRDefault="00C60764" w:rsidP="00127CCB">
      <w:pPr>
        <w:pStyle w:val="Default"/>
        <w:rPr>
          <w:rFonts w:ascii="Arial" w:hAnsi="Arial" w:cs="Arial"/>
        </w:rPr>
      </w:pPr>
      <w:r>
        <w:rPr>
          <w:rFonts w:ascii="Arial" w:hAnsi="Arial" w:cs="Arial"/>
        </w:rPr>
        <w:t>Sastav kupke: amonijum hlorid 25%, cink hlorid 10% i demineralizovana voda.</w:t>
      </w:r>
    </w:p>
    <w:p w14:paraId="49FADC65" w14:textId="77777777" w:rsidR="00C60764" w:rsidRDefault="00C60764" w:rsidP="00127CCB">
      <w:pPr>
        <w:pStyle w:val="Default"/>
        <w:rPr>
          <w:rFonts w:ascii="Arial" w:hAnsi="Arial" w:cs="Arial"/>
        </w:rPr>
      </w:pPr>
      <w:r>
        <w:rPr>
          <w:rFonts w:ascii="Arial" w:hAnsi="Arial" w:cs="Arial"/>
        </w:rPr>
        <w:t>Mjerenje: mjerenje pH vrijednosti na svaki sat vremena.</w:t>
      </w:r>
    </w:p>
    <w:p w14:paraId="37E5E5E9" w14:textId="77777777" w:rsidR="00C60764" w:rsidRPr="00C60764" w:rsidRDefault="00C60764" w:rsidP="00127CCB">
      <w:pPr>
        <w:pStyle w:val="Default"/>
        <w:rPr>
          <w:rFonts w:ascii="Arial" w:hAnsi="Arial" w:cs="Arial"/>
          <w:b/>
        </w:rPr>
      </w:pPr>
      <w:r w:rsidRPr="00C60764">
        <w:rPr>
          <w:rFonts w:ascii="Arial" w:hAnsi="Arial" w:cs="Arial"/>
          <w:b/>
        </w:rPr>
        <w:t>Kada broj 5. (Sušenje)</w:t>
      </w:r>
    </w:p>
    <w:p w14:paraId="09B1DF9C" w14:textId="77777777" w:rsidR="00C60764" w:rsidRDefault="00C60764" w:rsidP="00127CCB">
      <w:pPr>
        <w:pStyle w:val="Default"/>
        <w:rPr>
          <w:rFonts w:ascii="Arial" w:hAnsi="Arial" w:cs="Arial"/>
        </w:rPr>
      </w:pPr>
      <w:r>
        <w:rPr>
          <w:rFonts w:ascii="Arial" w:hAnsi="Arial" w:cs="Arial"/>
        </w:rPr>
        <w:t xml:space="preserve">Operacija: sušenje komada u trajanju od 30 min. na temperaturi 100 – 120 ° C. </w:t>
      </w:r>
    </w:p>
    <w:p w14:paraId="07DC0D7C" w14:textId="77777777" w:rsidR="00C60764" w:rsidRDefault="00C60764" w:rsidP="00127CCB">
      <w:pPr>
        <w:pStyle w:val="Default"/>
        <w:rPr>
          <w:rFonts w:ascii="Arial" w:hAnsi="Arial" w:cs="Arial"/>
        </w:rPr>
      </w:pPr>
      <w:r>
        <w:rPr>
          <w:rFonts w:ascii="Arial" w:hAnsi="Arial" w:cs="Arial"/>
        </w:rPr>
        <w:t>Energija za zagrijavanje: električni grijači.</w:t>
      </w:r>
    </w:p>
    <w:p w14:paraId="1FFE0F29" w14:textId="77777777" w:rsidR="00C60764" w:rsidRDefault="00725905" w:rsidP="00127CCB">
      <w:pPr>
        <w:pStyle w:val="Default"/>
        <w:rPr>
          <w:rFonts w:ascii="Arial" w:hAnsi="Arial" w:cs="Arial"/>
          <w:b/>
        </w:rPr>
      </w:pPr>
      <w:r w:rsidRPr="00725905">
        <w:rPr>
          <w:rFonts w:ascii="Arial" w:hAnsi="Arial" w:cs="Arial"/>
          <w:b/>
        </w:rPr>
        <w:t xml:space="preserve">Kada broj 6. (Cinkovanje) </w:t>
      </w:r>
    </w:p>
    <w:p w14:paraId="70986BD0" w14:textId="77777777" w:rsidR="00725905" w:rsidRDefault="00725905" w:rsidP="00127CCB">
      <w:pPr>
        <w:pStyle w:val="Default"/>
        <w:rPr>
          <w:rFonts w:ascii="Arial" w:hAnsi="Arial" w:cs="Arial"/>
        </w:rPr>
      </w:pPr>
      <w:r>
        <w:rPr>
          <w:rFonts w:ascii="Arial" w:hAnsi="Arial" w:cs="Arial"/>
        </w:rPr>
        <w:t>Operacija: potapanje metalnih komada u čeličnu kadu koja sadrži rastopljeni cink, u trajanju 3-5 min. Dozvoljena minimalna čistoća cinka je 99,995%.</w:t>
      </w:r>
    </w:p>
    <w:p w14:paraId="226CF530" w14:textId="77777777" w:rsidR="00725905" w:rsidRDefault="00A10558" w:rsidP="00127CCB">
      <w:pPr>
        <w:pStyle w:val="Default"/>
        <w:rPr>
          <w:rFonts w:ascii="Arial" w:hAnsi="Arial" w:cs="Arial"/>
        </w:rPr>
      </w:pPr>
      <w:r>
        <w:rPr>
          <w:rFonts w:ascii="Arial" w:hAnsi="Arial" w:cs="Arial"/>
        </w:rPr>
        <w:t>Pogonski parametri: temperatura</w:t>
      </w:r>
      <w:r w:rsidR="00725905">
        <w:rPr>
          <w:rFonts w:ascii="Arial" w:hAnsi="Arial" w:cs="Arial"/>
        </w:rPr>
        <w:t xml:space="preserve"> </w:t>
      </w:r>
      <w:r>
        <w:rPr>
          <w:rFonts w:ascii="Arial" w:hAnsi="Arial" w:cs="Arial"/>
        </w:rPr>
        <w:t>r</w:t>
      </w:r>
      <w:r w:rsidR="00725905">
        <w:rPr>
          <w:rFonts w:ascii="Arial" w:hAnsi="Arial" w:cs="Arial"/>
        </w:rPr>
        <w:t xml:space="preserve">astoljenog cinka je od 445 – 460 ° C. </w:t>
      </w:r>
    </w:p>
    <w:p w14:paraId="4906F832" w14:textId="0AC31DE5" w:rsidR="00725905" w:rsidRDefault="00423639" w:rsidP="00127CCB">
      <w:pPr>
        <w:pStyle w:val="Default"/>
        <w:rPr>
          <w:rFonts w:ascii="Arial" w:hAnsi="Arial" w:cs="Arial"/>
        </w:rPr>
      </w:pPr>
      <w:r>
        <w:rPr>
          <w:rFonts w:ascii="Arial" w:hAnsi="Arial" w:cs="Arial"/>
        </w:rPr>
        <w:t>Mjerenje: mjerenje tem</w:t>
      </w:r>
      <w:r w:rsidR="00725905">
        <w:rPr>
          <w:rFonts w:ascii="Arial" w:hAnsi="Arial" w:cs="Arial"/>
        </w:rPr>
        <w:t>perature se vrši permanentno</w:t>
      </w:r>
      <w:r w:rsidR="00D06989">
        <w:rPr>
          <w:rFonts w:ascii="Arial" w:hAnsi="Arial" w:cs="Arial"/>
        </w:rPr>
        <w:t xml:space="preserve"> sa 6 mjernih sondi od kojih su </w:t>
      </w:r>
      <w:r w:rsidR="00725905">
        <w:rPr>
          <w:rFonts w:ascii="Arial" w:hAnsi="Arial" w:cs="Arial"/>
        </w:rPr>
        <w:t>dvije stalno uronjenje u cink, ostale četiri mjere vanjsku temeperaturu kade. Upravljanje temperaturom vrši se automatski preko termo – regulatora.</w:t>
      </w:r>
    </w:p>
    <w:p w14:paraId="2B6C7420" w14:textId="1AE98B33" w:rsidR="00725905" w:rsidRDefault="00C332F8" w:rsidP="00127CCB">
      <w:pPr>
        <w:pStyle w:val="Default"/>
        <w:rPr>
          <w:rFonts w:ascii="Arial" w:hAnsi="Arial" w:cs="Arial"/>
          <w:b/>
        </w:rPr>
      </w:pPr>
      <w:r>
        <w:rPr>
          <w:rFonts w:ascii="Arial" w:hAnsi="Arial" w:cs="Arial"/>
          <w:b/>
        </w:rPr>
        <w:t>Kada broj 7. (</w:t>
      </w:r>
      <w:r w:rsidR="00725905" w:rsidRPr="00725905">
        <w:rPr>
          <w:rFonts w:ascii="Arial" w:hAnsi="Arial" w:cs="Arial"/>
          <w:b/>
        </w:rPr>
        <w:t>Hlađenje)</w:t>
      </w:r>
    </w:p>
    <w:p w14:paraId="7AAFC0EB" w14:textId="77777777" w:rsidR="00725905" w:rsidRPr="00725905" w:rsidRDefault="00725905" w:rsidP="00127CCB">
      <w:pPr>
        <w:pStyle w:val="Default"/>
        <w:rPr>
          <w:rFonts w:ascii="Arial" w:hAnsi="Arial" w:cs="Arial"/>
        </w:rPr>
      </w:pPr>
      <w:r>
        <w:rPr>
          <w:rFonts w:ascii="Arial" w:hAnsi="Arial" w:cs="Arial"/>
        </w:rPr>
        <w:t>Operacija: Hlađenje metalnih komada u hladnoj protočnoj vodi temeprature 5- 15° C, u trajanju 0,5 min</w:t>
      </w:r>
    </w:p>
    <w:p w14:paraId="4388FAA5" w14:textId="77777777" w:rsidR="00725905" w:rsidRDefault="00725905" w:rsidP="00127CCB">
      <w:pPr>
        <w:pStyle w:val="Default"/>
        <w:rPr>
          <w:rFonts w:ascii="Arial" w:hAnsi="Arial" w:cs="Arial"/>
        </w:rPr>
      </w:pPr>
    </w:p>
    <w:p w14:paraId="79046EC5" w14:textId="77777777" w:rsidR="00DB4F74" w:rsidRDefault="00DB4F74" w:rsidP="00127CCB">
      <w:pPr>
        <w:pStyle w:val="Default"/>
        <w:rPr>
          <w:rFonts w:ascii="Arial" w:hAnsi="Arial" w:cs="Arial"/>
        </w:rPr>
      </w:pPr>
    </w:p>
    <w:p w14:paraId="3A1A6BCF" w14:textId="77777777" w:rsidR="006C3336" w:rsidRDefault="006C3336" w:rsidP="00127CCB">
      <w:pPr>
        <w:pStyle w:val="Default"/>
        <w:rPr>
          <w:rFonts w:ascii="Arial" w:hAnsi="Arial" w:cs="Arial"/>
        </w:rPr>
      </w:pPr>
      <w:r>
        <w:rPr>
          <w:rFonts w:ascii="Arial" w:hAnsi="Arial" w:cs="Arial"/>
        </w:rPr>
        <w:t>U pomoćne sisteme se ubrajaju sistemi za obezbjeđenje energenata i vode za tehnološki proces:</w:t>
      </w:r>
    </w:p>
    <w:p w14:paraId="22A6C1F0" w14:textId="77777777" w:rsidR="006C3336" w:rsidRDefault="006C3336" w:rsidP="006C3336">
      <w:pPr>
        <w:pStyle w:val="Default"/>
        <w:numPr>
          <w:ilvl w:val="0"/>
          <w:numId w:val="1"/>
        </w:numPr>
        <w:rPr>
          <w:rFonts w:ascii="Arial" w:hAnsi="Arial" w:cs="Arial"/>
        </w:rPr>
      </w:pPr>
      <w:r>
        <w:rPr>
          <w:rFonts w:ascii="Arial" w:hAnsi="Arial" w:cs="Arial"/>
        </w:rPr>
        <w:t>Sistem za napajanje električnom energijom i konstrolni sistem,</w:t>
      </w:r>
    </w:p>
    <w:p w14:paraId="726AD094" w14:textId="77777777" w:rsidR="006C3336" w:rsidRDefault="006C3336" w:rsidP="006C3336">
      <w:pPr>
        <w:pStyle w:val="Default"/>
        <w:numPr>
          <w:ilvl w:val="0"/>
          <w:numId w:val="1"/>
        </w:numPr>
        <w:rPr>
          <w:rFonts w:ascii="Arial" w:hAnsi="Arial" w:cs="Arial"/>
        </w:rPr>
      </w:pPr>
      <w:r>
        <w:rPr>
          <w:rFonts w:ascii="Arial" w:hAnsi="Arial" w:cs="Arial"/>
        </w:rPr>
        <w:t>Sistem komprimiranog zraka,</w:t>
      </w:r>
    </w:p>
    <w:p w14:paraId="06D0A70B" w14:textId="77777777" w:rsidR="006C3336" w:rsidRDefault="006C3336" w:rsidP="006C3336">
      <w:pPr>
        <w:pStyle w:val="Default"/>
        <w:numPr>
          <w:ilvl w:val="0"/>
          <w:numId w:val="1"/>
        </w:numPr>
        <w:rPr>
          <w:rFonts w:ascii="Arial" w:hAnsi="Arial" w:cs="Arial"/>
        </w:rPr>
      </w:pPr>
      <w:r>
        <w:rPr>
          <w:rFonts w:ascii="Arial" w:hAnsi="Arial" w:cs="Arial"/>
        </w:rPr>
        <w:t>Sistem tehnološke, pitke i hidrantske vode.</w:t>
      </w:r>
    </w:p>
    <w:p w14:paraId="0DA50C6B" w14:textId="77777777" w:rsidR="006C3336" w:rsidRDefault="006C3336" w:rsidP="006C3336">
      <w:pPr>
        <w:pStyle w:val="Default"/>
        <w:rPr>
          <w:rFonts w:ascii="Arial" w:hAnsi="Arial" w:cs="Arial"/>
        </w:rPr>
      </w:pPr>
    </w:p>
    <w:p w14:paraId="0FDA19EC" w14:textId="77777777" w:rsidR="006C3336" w:rsidRPr="006C3336" w:rsidRDefault="006C3336" w:rsidP="006C3336">
      <w:pPr>
        <w:pStyle w:val="Default"/>
        <w:rPr>
          <w:rFonts w:ascii="Arial" w:hAnsi="Arial" w:cs="Arial"/>
          <w:b/>
        </w:rPr>
      </w:pPr>
      <w:r w:rsidRPr="006C3336">
        <w:rPr>
          <w:rFonts w:ascii="Arial" w:hAnsi="Arial" w:cs="Arial"/>
          <w:b/>
        </w:rPr>
        <w:t xml:space="preserve">3. Tehnološki proces za koji se izdaje dozvola </w:t>
      </w:r>
    </w:p>
    <w:p w14:paraId="3D213D4A" w14:textId="77777777" w:rsidR="00725905" w:rsidRDefault="00725905" w:rsidP="00127CCB">
      <w:pPr>
        <w:pStyle w:val="Default"/>
        <w:rPr>
          <w:rFonts w:ascii="Arial" w:hAnsi="Arial" w:cs="Arial"/>
        </w:rPr>
      </w:pPr>
    </w:p>
    <w:p w14:paraId="3F390F75" w14:textId="77777777" w:rsidR="006C3336" w:rsidRDefault="005062EF" w:rsidP="00127CCB">
      <w:pPr>
        <w:pStyle w:val="Default"/>
        <w:rPr>
          <w:rFonts w:ascii="Arial" w:hAnsi="Arial" w:cs="Arial"/>
        </w:rPr>
      </w:pPr>
      <w:r>
        <w:rPr>
          <w:rFonts w:ascii="Arial" w:hAnsi="Arial" w:cs="Arial"/>
        </w:rPr>
        <w:t xml:space="preserve">Tehnološki proces u pogonu za toplo pocinčavanje obuhvata sve potrebne postupke i aktivnosti uobičajenje za procese toplog pocinčavanja – cinkovanja. </w:t>
      </w:r>
    </w:p>
    <w:p w14:paraId="0B12D19A" w14:textId="77777777" w:rsidR="005062EF" w:rsidRDefault="005062EF" w:rsidP="00127CCB">
      <w:pPr>
        <w:pStyle w:val="Default"/>
        <w:rPr>
          <w:rFonts w:ascii="Arial" w:hAnsi="Arial" w:cs="Arial"/>
        </w:rPr>
      </w:pPr>
      <w:r>
        <w:rPr>
          <w:rFonts w:ascii="Arial" w:hAnsi="Arial" w:cs="Arial"/>
        </w:rPr>
        <w:t>Tehnološki proces zaštite metala sadrži sljedeće faze:</w:t>
      </w:r>
    </w:p>
    <w:p w14:paraId="6BFFA91B" w14:textId="77777777" w:rsidR="005062EF" w:rsidRDefault="005062EF" w:rsidP="005062EF">
      <w:pPr>
        <w:pStyle w:val="Default"/>
        <w:numPr>
          <w:ilvl w:val="0"/>
          <w:numId w:val="1"/>
        </w:numPr>
        <w:rPr>
          <w:rFonts w:ascii="Arial" w:hAnsi="Arial" w:cs="Arial"/>
        </w:rPr>
      </w:pPr>
      <w:r>
        <w:rPr>
          <w:rFonts w:ascii="Arial" w:hAnsi="Arial" w:cs="Arial"/>
        </w:rPr>
        <w:t>Toplo odmašćivanje metalnih predmeta,</w:t>
      </w:r>
    </w:p>
    <w:p w14:paraId="4A07586F" w14:textId="77777777" w:rsidR="005062EF" w:rsidRDefault="005062EF" w:rsidP="005062EF">
      <w:pPr>
        <w:pStyle w:val="Default"/>
        <w:numPr>
          <w:ilvl w:val="0"/>
          <w:numId w:val="1"/>
        </w:numPr>
        <w:rPr>
          <w:rFonts w:ascii="Arial" w:hAnsi="Arial" w:cs="Arial"/>
        </w:rPr>
      </w:pPr>
      <w:r>
        <w:rPr>
          <w:rFonts w:ascii="Arial" w:hAnsi="Arial" w:cs="Arial"/>
        </w:rPr>
        <w:t>Nagrizanje metalnih predmeta – dekapiranje,</w:t>
      </w:r>
    </w:p>
    <w:p w14:paraId="16D87C42" w14:textId="77777777" w:rsidR="005062EF" w:rsidRDefault="005062EF" w:rsidP="005062EF">
      <w:pPr>
        <w:pStyle w:val="Default"/>
        <w:numPr>
          <w:ilvl w:val="0"/>
          <w:numId w:val="1"/>
        </w:numPr>
        <w:rPr>
          <w:rFonts w:ascii="Arial" w:hAnsi="Arial" w:cs="Arial"/>
        </w:rPr>
      </w:pPr>
      <w:r>
        <w:rPr>
          <w:rFonts w:ascii="Arial" w:hAnsi="Arial" w:cs="Arial"/>
        </w:rPr>
        <w:t>Ispiranje,</w:t>
      </w:r>
    </w:p>
    <w:p w14:paraId="0A23B2F7" w14:textId="77777777" w:rsidR="005062EF" w:rsidRDefault="005062EF" w:rsidP="005062EF">
      <w:pPr>
        <w:pStyle w:val="Default"/>
        <w:numPr>
          <w:ilvl w:val="0"/>
          <w:numId w:val="1"/>
        </w:numPr>
        <w:rPr>
          <w:rFonts w:ascii="Arial" w:hAnsi="Arial" w:cs="Arial"/>
        </w:rPr>
      </w:pPr>
      <w:r>
        <w:rPr>
          <w:rFonts w:ascii="Arial" w:hAnsi="Arial" w:cs="Arial"/>
        </w:rPr>
        <w:t xml:space="preserve">Fluksovanje, </w:t>
      </w:r>
    </w:p>
    <w:p w14:paraId="1695700B" w14:textId="77777777" w:rsidR="005062EF" w:rsidRDefault="005062EF" w:rsidP="005062EF">
      <w:pPr>
        <w:pStyle w:val="Default"/>
        <w:numPr>
          <w:ilvl w:val="0"/>
          <w:numId w:val="1"/>
        </w:numPr>
        <w:rPr>
          <w:rFonts w:ascii="Arial" w:hAnsi="Arial" w:cs="Arial"/>
        </w:rPr>
      </w:pPr>
      <w:r>
        <w:rPr>
          <w:rFonts w:ascii="Arial" w:hAnsi="Arial" w:cs="Arial"/>
        </w:rPr>
        <w:t>Sušenje,</w:t>
      </w:r>
    </w:p>
    <w:p w14:paraId="7DF82651" w14:textId="77777777" w:rsidR="005062EF" w:rsidRDefault="005062EF" w:rsidP="005062EF">
      <w:pPr>
        <w:pStyle w:val="Default"/>
        <w:numPr>
          <w:ilvl w:val="0"/>
          <w:numId w:val="1"/>
        </w:numPr>
        <w:rPr>
          <w:rFonts w:ascii="Arial" w:hAnsi="Arial" w:cs="Arial"/>
        </w:rPr>
      </w:pPr>
      <w:r>
        <w:rPr>
          <w:rFonts w:ascii="Arial" w:hAnsi="Arial" w:cs="Arial"/>
        </w:rPr>
        <w:t>Toplo pocinčavanje,</w:t>
      </w:r>
    </w:p>
    <w:p w14:paraId="33E2E6D7" w14:textId="77777777" w:rsidR="005062EF" w:rsidRDefault="005062EF" w:rsidP="005062EF">
      <w:pPr>
        <w:pStyle w:val="Default"/>
        <w:numPr>
          <w:ilvl w:val="0"/>
          <w:numId w:val="1"/>
        </w:numPr>
        <w:rPr>
          <w:rFonts w:ascii="Arial" w:hAnsi="Arial" w:cs="Arial"/>
        </w:rPr>
      </w:pPr>
      <w:r>
        <w:rPr>
          <w:rFonts w:ascii="Arial" w:hAnsi="Arial" w:cs="Arial"/>
        </w:rPr>
        <w:t>Hlađenje,</w:t>
      </w:r>
    </w:p>
    <w:p w14:paraId="22BE91DC" w14:textId="77777777" w:rsidR="005062EF" w:rsidRDefault="005062EF" w:rsidP="005062EF">
      <w:pPr>
        <w:pStyle w:val="Default"/>
        <w:numPr>
          <w:ilvl w:val="0"/>
          <w:numId w:val="1"/>
        </w:numPr>
        <w:rPr>
          <w:rFonts w:ascii="Arial" w:hAnsi="Arial" w:cs="Arial"/>
        </w:rPr>
      </w:pPr>
      <w:r>
        <w:rPr>
          <w:rFonts w:ascii="Arial" w:hAnsi="Arial" w:cs="Arial"/>
        </w:rPr>
        <w:t>Kontrola gotovih proizvoda.</w:t>
      </w:r>
    </w:p>
    <w:p w14:paraId="03EE70E7" w14:textId="77777777" w:rsidR="005062EF" w:rsidRDefault="005062EF" w:rsidP="005062EF">
      <w:pPr>
        <w:pStyle w:val="Default"/>
        <w:rPr>
          <w:rFonts w:ascii="Arial" w:hAnsi="Arial" w:cs="Arial"/>
        </w:rPr>
      </w:pPr>
    </w:p>
    <w:p w14:paraId="6D6E086F" w14:textId="77777777" w:rsidR="00EC1E87" w:rsidRDefault="00EC1E87" w:rsidP="00EC1E87">
      <w:pPr>
        <w:jc w:val="both"/>
        <w:rPr>
          <w:rFonts w:ascii="Arial" w:hAnsi="Arial" w:cs="Arial"/>
        </w:rPr>
      </w:pPr>
      <w:r w:rsidRPr="00CE5533">
        <w:rPr>
          <w:rFonts w:ascii="Arial" w:hAnsi="Arial" w:cs="Arial"/>
        </w:rPr>
        <w:t xml:space="preserve">Prva i osnovna faza u procesu zaštite metala je priprema površine materijala, što je jedan od osnovnih faktora za kvalitetno nanošenje prevlake na metalne površine u postupku toplog pocinčavanja. Priprema površine se odvija u dva odvojena postupka: </w:t>
      </w:r>
    </w:p>
    <w:p w14:paraId="31468535" w14:textId="057B7B73" w:rsidR="00EC1E87" w:rsidRDefault="00EC1E87" w:rsidP="00423639">
      <w:pPr>
        <w:pStyle w:val="ListParagraph"/>
        <w:numPr>
          <w:ilvl w:val="0"/>
          <w:numId w:val="1"/>
        </w:numPr>
        <w:jc w:val="both"/>
        <w:rPr>
          <w:rFonts w:ascii="Arial" w:hAnsi="Arial" w:cs="Arial"/>
        </w:rPr>
      </w:pPr>
      <w:r>
        <w:rPr>
          <w:rFonts w:ascii="Arial" w:hAnsi="Arial" w:cs="Arial"/>
        </w:rPr>
        <w:t>Postupak toplog odmašćivanja,</w:t>
      </w:r>
    </w:p>
    <w:p w14:paraId="797117E5" w14:textId="78DD54FA" w:rsidR="00EC1E87" w:rsidRDefault="00EC1E87" w:rsidP="00423639">
      <w:pPr>
        <w:pStyle w:val="ListParagraph"/>
        <w:numPr>
          <w:ilvl w:val="0"/>
          <w:numId w:val="1"/>
        </w:numPr>
        <w:jc w:val="both"/>
        <w:rPr>
          <w:rFonts w:ascii="Arial" w:hAnsi="Arial" w:cs="Arial"/>
        </w:rPr>
      </w:pPr>
      <w:r>
        <w:rPr>
          <w:rFonts w:ascii="Arial" w:hAnsi="Arial" w:cs="Arial"/>
        </w:rPr>
        <w:t>Postupak nagrizavanja –</w:t>
      </w:r>
      <w:r w:rsidR="003976B3">
        <w:rPr>
          <w:rFonts w:ascii="Arial" w:hAnsi="Arial" w:cs="Arial"/>
        </w:rPr>
        <w:t xml:space="preserve"> </w:t>
      </w:r>
      <w:r>
        <w:rPr>
          <w:rFonts w:ascii="Arial" w:hAnsi="Arial" w:cs="Arial"/>
        </w:rPr>
        <w:t>dekapiranja.</w:t>
      </w:r>
    </w:p>
    <w:p w14:paraId="02AE9DA3" w14:textId="77777777" w:rsidR="00A10558" w:rsidRDefault="00A10558" w:rsidP="00A10558">
      <w:pPr>
        <w:jc w:val="both"/>
        <w:rPr>
          <w:rFonts w:ascii="Arial" w:hAnsi="Arial" w:cs="Arial"/>
        </w:rPr>
      </w:pPr>
    </w:p>
    <w:p w14:paraId="7FE229FD" w14:textId="77777777" w:rsidR="00A10558" w:rsidRDefault="00A10558" w:rsidP="00DB4F74">
      <w:pPr>
        <w:jc w:val="both"/>
        <w:rPr>
          <w:rFonts w:ascii="Arial" w:hAnsi="Arial" w:cs="Arial"/>
        </w:rPr>
      </w:pPr>
      <w:r>
        <w:rPr>
          <w:rFonts w:ascii="Arial" w:hAnsi="Arial" w:cs="Arial"/>
        </w:rPr>
        <w:t xml:space="preserve">Na ovaj način vrši se uklanjanje masnoća, ulja, korozivnih produkata, prašine, čađi i slično. Odmašćivanje se vrši u kadi sa otopinom detrdženta, sode, kiselog odmaščivača bez potrebe za ispiranjem. Nagrizanje se vrši u kadi sa razblaženom hlorovodoničnom kiselinom. </w:t>
      </w:r>
    </w:p>
    <w:p w14:paraId="2271BC76" w14:textId="77777777" w:rsidR="00941C50" w:rsidRDefault="00DB4F74" w:rsidP="00DB4F74">
      <w:pPr>
        <w:jc w:val="both"/>
        <w:rPr>
          <w:rFonts w:ascii="Arial" w:hAnsi="Arial" w:cs="Arial"/>
        </w:rPr>
      </w:pPr>
      <w:r>
        <w:rPr>
          <w:rFonts w:ascii="Arial" w:hAnsi="Arial" w:cs="Arial"/>
        </w:rPr>
        <w:t xml:space="preserve">Druga faza je ispiranje koje </w:t>
      </w:r>
      <w:r w:rsidR="00941C50">
        <w:rPr>
          <w:rFonts w:ascii="Arial" w:hAnsi="Arial" w:cs="Arial"/>
        </w:rPr>
        <w:t xml:space="preserve"> se vrši u hladnoj protočnoj vodi temperature 5 - 15° C. </w:t>
      </w:r>
    </w:p>
    <w:p w14:paraId="0057B47E" w14:textId="517471E8" w:rsidR="00941C50" w:rsidRDefault="00DB4F74" w:rsidP="00DB4F74">
      <w:pPr>
        <w:jc w:val="both"/>
        <w:rPr>
          <w:rFonts w:ascii="Arial" w:hAnsi="Arial" w:cs="Arial"/>
        </w:rPr>
      </w:pPr>
      <w:r>
        <w:rPr>
          <w:rFonts w:ascii="Arial" w:hAnsi="Arial" w:cs="Arial"/>
        </w:rPr>
        <w:t xml:space="preserve">Fluksovanje je iduća </w:t>
      </w:r>
      <w:r w:rsidR="0050386A">
        <w:rPr>
          <w:rFonts w:ascii="Arial" w:hAnsi="Arial" w:cs="Arial"/>
        </w:rPr>
        <w:t xml:space="preserve">faza </w:t>
      </w:r>
      <w:r w:rsidR="00423639">
        <w:rPr>
          <w:rFonts w:ascii="Arial" w:hAnsi="Arial" w:cs="Arial"/>
        </w:rPr>
        <w:t>operacije priprema</w:t>
      </w:r>
      <w:r w:rsidR="00941C50">
        <w:rPr>
          <w:rFonts w:ascii="Arial" w:hAnsi="Arial" w:cs="Arial"/>
        </w:rPr>
        <w:t xml:space="preserve"> površine za toplo cinkovanje i podrazumijeva potpuno uklanjanje zaostalih oksida s površine metala i stvaranje t</w:t>
      </w:r>
      <w:r w:rsidR="00423639">
        <w:rPr>
          <w:rFonts w:ascii="Arial" w:hAnsi="Arial" w:cs="Arial"/>
        </w:rPr>
        <w:t>anke prevlake hlorida u cilju p</w:t>
      </w:r>
      <w:r w:rsidR="00941C50">
        <w:rPr>
          <w:rFonts w:ascii="Arial" w:hAnsi="Arial" w:cs="Arial"/>
        </w:rPr>
        <w:t>reventivne zaštite tek očišćene i pripremljenje površine od nagle korozije, do uranjanja u cink. Metoda nanošenja fluksa na površinu metala se još zove i suha metoda. Operacija se svodi na potapanje metalnih komada u rastvor fluksa radi kvalitetnije i postojanije prevlake  cinka u trajanju od jedne minute.</w:t>
      </w:r>
      <w:r>
        <w:rPr>
          <w:rFonts w:ascii="Arial" w:hAnsi="Arial" w:cs="Arial"/>
        </w:rPr>
        <w:t xml:space="preserve"> Pogonski parametri su:  temeperatura 35 – 55 ° C i pH 3,5 -</w:t>
      </w:r>
      <w:r w:rsidR="00423639">
        <w:rPr>
          <w:rFonts w:ascii="Arial" w:hAnsi="Arial" w:cs="Arial"/>
        </w:rPr>
        <w:t xml:space="preserve"> </w:t>
      </w:r>
      <w:r>
        <w:rPr>
          <w:rFonts w:ascii="Arial" w:hAnsi="Arial" w:cs="Arial"/>
        </w:rPr>
        <w:t xml:space="preserve">4,5 . Praćenje ovog postupka se vrši svakih sat vremena mjerenjem pH vrijednosti. </w:t>
      </w:r>
    </w:p>
    <w:p w14:paraId="3FB3ED09" w14:textId="77777777" w:rsidR="00DB4F74" w:rsidRDefault="00DB4F74" w:rsidP="00DB4F74">
      <w:pPr>
        <w:jc w:val="both"/>
        <w:rPr>
          <w:rFonts w:ascii="Arial" w:hAnsi="Arial" w:cs="Arial"/>
        </w:rPr>
      </w:pPr>
      <w:r>
        <w:rPr>
          <w:rFonts w:ascii="Arial" w:hAnsi="Arial" w:cs="Arial"/>
        </w:rPr>
        <w:t>Četvrta faza jest sušenje komada na temperaturi od 100 – 120 ° C i traje oko 30 minuta.</w:t>
      </w:r>
    </w:p>
    <w:p w14:paraId="74995300" w14:textId="77777777" w:rsidR="00DB4F74" w:rsidRDefault="00DB4F74" w:rsidP="00DB4F74">
      <w:pPr>
        <w:pStyle w:val="Default"/>
        <w:jc w:val="both"/>
        <w:rPr>
          <w:rFonts w:ascii="Arial" w:hAnsi="Arial" w:cs="Arial"/>
        </w:rPr>
      </w:pPr>
      <w:r>
        <w:rPr>
          <w:rFonts w:ascii="Arial" w:hAnsi="Arial" w:cs="Arial"/>
        </w:rPr>
        <w:t>Kada za sušenje napravljena je od armiranog betona debljine i obložena vatrostalnom opekom debljine 15 m.</w:t>
      </w:r>
    </w:p>
    <w:p w14:paraId="39122255" w14:textId="77777777" w:rsidR="00DB4F74" w:rsidRDefault="00DB4F74" w:rsidP="00DB4F74">
      <w:pPr>
        <w:pStyle w:val="Default"/>
        <w:jc w:val="both"/>
        <w:rPr>
          <w:rFonts w:ascii="Arial" w:hAnsi="Arial" w:cs="Arial"/>
        </w:rPr>
      </w:pPr>
      <w:r>
        <w:rPr>
          <w:rFonts w:ascii="Arial" w:hAnsi="Arial" w:cs="Arial"/>
        </w:rPr>
        <w:t>Faza toplog pocinčavanja dolazi nakon sušenja. Toplo pocinčavanje je  hemijski postupak čiji je rezultat formiranje i struktuiranje cinkove prevlake u zavisnosti od pripremljenosti površine. Čelična kada je obložena vatrostalnom ciglom i kamenom vunom radi što manjeg gubitka u energiji. Kada se zagrijava električnom energijom.</w:t>
      </w:r>
    </w:p>
    <w:p w14:paraId="07BBF01F" w14:textId="77777777" w:rsidR="0050386A" w:rsidRDefault="0050386A" w:rsidP="00DB4F74">
      <w:pPr>
        <w:pStyle w:val="Default"/>
        <w:jc w:val="both"/>
        <w:rPr>
          <w:rFonts w:ascii="Arial" w:hAnsi="Arial" w:cs="Arial"/>
        </w:rPr>
      </w:pPr>
      <w:r>
        <w:rPr>
          <w:rFonts w:ascii="Arial" w:hAnsi="Arial" w:cs="Arial"/>
        </w:rPr>
        <w:t>Završna faza je hlađenje koja podrazumjeva hlađenje metalnih komada u protočnoj vodi temeperature 5 – 15 ° C u trajanju od 0,5 minuta.</w:t>
      </w:r>
    </w:p>
    <w:p w14:paraId="4FF7958D" w14:textId="77777777" w:rsidR="0050386A" w:rsidRDefault="0050386A" w:rsidP="00DB4F74">
      <w:pPr>
        <w:pStyle w:val="Default"/>
        <w:jc w:val="both"/>
        <w:rPr>
          <w:rFonts w:ascii="Arial" w:hAnsi="Arial" w:cs="Arial"/>
        </w:rPr>
      </w:pPr>
    </w:p>
    <w:p w14:paraId="68311637" w14:textId="77777777" w:rsidR="0050386A" w:rsidRDefault="0050386A" w:rsidP="00DB4F74">
      <w:pPr>
        <w:pStyle w:val="Default"/>
        <w:jc w:val="both"/>
        <w:rPr>
          <w:rFonts w:ascii="Arial" w:hAnsi="Arial" w:cs="Arial"/>
          <w:b/>
        </w:rPr>
      </w:pPr>
      <w:r w:rsidRPr="0050386A">
        <w:rPr>
          <w:rFonts w:ascii="Arial" w:hAnsi="Arial" w:cs="Arial"/>
          <w:b/>
        </w:rPr>
        <w:t>4. Emisije / negativni uticaji koje pogon i postrojenje ima u okoliš</w:t>
      </w:r>
    </w:p>
    <w:p w14:paraId="0C9721F8" w14:textId="67A09099" w:rsidR="0050386A" w:rsidRPr="0050386A" w:rsidRDefault="0050386A" w:rsidP="00DB4F74">
      <w:pPr>
        <w:pStyle w:val="Default"/>
        <w:jc w:val="both"/>
        <w:rPr>
          <w:rFonts w:ascii="Arial" w:hAnsi="Arial" w:cs="Arial"/>
          <w:b/>
        </w:rPr>
      </w:pPr>
      <w:r w:rsidRPr="0050386A">
        <w:rPr>
          <w:rFonts w:ascii="Arial" w:hAnsi="Arial" w:cs="Arial"/>
          <w:b/>
        </w:rPr>
        <w:t xml:space="preserve">4.1. Emisije u zrak </w:t>
      </w:r>
    </w:p>
    <w:p w14:paraId="77B508FA" w14:textId="215D8101" w:rsidR="00DB4F74" w:rsidRDefault="00C332F8" w:rsidP="00C332F8">
      <w:pPr>
        <w:pStyle w:val="Default"/>
        <w:jc w:val="both"/>
        <w:rPr>
          <w:rFonts w:ascii="Arial" w:hAnsi="Arial" w:cs="Arial"/>
        </w:rPr>
      </w:pPr>
      <w:r>
        <w:rPr>
          <w:rFonts w:ascii="Arial" w:hAnsi="Arial" w:cs="Arial"/>
        </w:rPr>
        <w:t>Emisije u zrak nastaju prilikom emisija aerosola i para uz kade. Aerosol i pare hlorovodonične kiseline (HCl) i (NH</w:t>
      </w:r>
      <w:r>
        <w:rPr>
          <w:rFonts w:ascii="Arial" w:hAnsi="Arial" w:cs="Arial"/>
          <w:vertAlign w:val="subscript"/>
        </w:rPr>
        <w:t>3</w:t>
      </w:r>
      <w:r>
        <w:rPr>
          <w:rFonts w:ascii="Arial" w:hAnsi="Arial" w:cs="Arial"/>
        </w:rPr>
        <w:t>) emituju se u zrak. Emisije u zrak iz procesa toplog pocinčavanja potiču iz sušenja pozicija poslje operacije fluksanja.</w:t>
      </w:r>
      <w:r w:rsidR="00F110B3">
        <w:rPr>
          <w:rFonts w:ascii="Arial" w:hAnsi="Arial" w:cs="Arial"/>
        </w:rPr>
        <w:t xml:space="preserve"> Emisija </w:t>
      </w:r>
      <w:r>
        <w:rPr>
          <w:rFonts w:ascii="Arial" w:hAnsi="Arial" w:cs="Arial"/>
        </w:rPr>
        <w:t>plinova kao i pojedinih polutanata nema jer se za zagrijavanje koristi električna energija. U cilju sprečavanja emisij</w:t>
      </w:r>
      <w:r w:rsidR="00F110B3">
        <w:rPr>
          <w:rFonts w:ascii="Arial" w:hAnsi="Arial" w:cs="Arial"/>
        </w:rPr>
        <w:t>a u zrak na ventilacionom otvoru</w:t>
      </w:r>
      <w:r>
        <w:rPr>
          <w:rFonts w:ascii="Arial" w:hAnsi="Arial" w:cs="Arial"/>
        </w:rPr>
        <w:t xml:space="preserve"> instalirani su filteri. </w:t>
      </w:r>
    </w:p>
    <w:p w14:paraId="6B38E3A7" w14:textId="633516F9" w:rsidR="00C332F8" w:rsidRDefault="00C332F8" w:rsidP="00C332F8">
      <w:pPr>
        <w:pStyle w:val="Default"/>
        <w:jc w:val="both"/>
        <w:rPr>
          <w:rFonts w:ascii="Arial" w:hAnsi="Arial" w:cs="Arial"/>
        </w:rPr>
      </w:pPr>
    </w:p>
    <w:p w14:paraId="06BF3543" w14:textId="1AC48404" w:rsidR="00C332F8" w:rsidRDefault="00C332F8" w:rsidP="00C332F8">
      <w:pPr>
        <w:pStyle w:val="Default"/>
        <w:jc w:val="both"/>
        <w:rPr>
          <w:rFonts w:ascii="Arial" w:hAnsi="Arial" w:cs="Arial"/>
          <w:b/>
        </w:rPr>
      </w:pPr>
      <w:r w:rsidRPr="00C332F8">
        <w:rPr>
          <w:rFonts w:ascii="Arial" w:hAnsi="Arial" w:cs="Arial"/>
          <w:b/>
        </w:rPr>
        <w:t xml:space="preserve">4.2. Emisije u vode </w:t>
      </w:r>
    </w:p>
    <w:p w14:paraId="5C955949" w14:textId="3DEC6334" w:rsidR="00C332F8" w:rsidRDefault="00C332F8" w:rsidP="00C332F8">
      <w:pPr>
        <w:pStyle w:val="Default"/>
        <w:jc w:val="both"/>
        <w:rPr>
          <w:rFonts w:ascii="Arial" w:hAnsi="Arial" w:cs="Arial"/>
        </w:rPr>
      </w:pPr>
      <w:r>
        <w:rPr>
          <w:rFonts w:ascii="Arial" w:hAnsi="Arial" w:cs="Arial"/>
        </w:rPr>
        <w:t>U dosadašnjem radu pogona za toplo pocinč</w:t>
      </w:r>
      <w:r w:rsidR="00F110B3">
        <w:rPr>
          <w:rFonts w:ascii="Arial" w:hAnsi="Arial" w:cs="Arial"/>
        </w:rPr>
        <w:t>avanje nije vršen</w:t>
      </w:r>
      <w:r w:rsidR="0060733D">
        <w:rPr>
          <w:rFonts w:ascii="Arial" w:hAnsi="Arial" w:cs="Arial"/>
        </w:rPr>
        <w:t xml:space="preserve"> monitoring otpadnih </w:t>
      </w:r>
      <w:r>
        <w:rPr>
          <w:rFonts w:ascii="Arial" w:hAnsi="Arial" w:cs="Arial"/>
        </w:rPr>
        <w:t xml:space="preserve">voda u površinske vode jer se iste ne upuštaju u površinske vode niti kanalizacioni sistem. Tehnološke otpadne vode koje nastaju u pgonu za toplo pocinčavanje se dijelom ( tekući i čvrsti koncentrati) pakuju u namjenske kontejnere i predaju na zbrinjavanje ovčaštenoj firmi </w:t>
      </w:r>
      <w:r w:rsidR="00F110B3">
        <w:rPr>
          <w:rFonts w:ascii="Arial" w:hAnsi="Arial" w:cs="Arial"/>
        </w:rPr>
        <w:t>na daljni tretman, a dijelom  (</w:t>
      </w:r>
      <w:r>
        <w:rPr>
          <w:rFonts w:ascii="Arial" w:hAnsi="Arial" w:cs="Arial"/>
        </w:rPr>
        <w:t>otpadne vode iz ispirnih kada koje su veoma malo zasićene) se vraćaju u proces proizvodnje, odnosno kod novog formiranja i razblaživanja kiselina odmašćiva</w:t>
      </w:r>
      <w:r w:rsidR="00540394">
        <w:rPr>
          <w:rFonts w:ascii="Arial" w:hAnsi="Arial" w:cs="Arial"/>
        </w:rPr>
        <w:t xml:space="preserve">ča i fluksa. </w:t>
      </w:r>
    </w:p>
    <w:p w14:paraId="51E2780C" w14:textId="445BE8B7" w:rsidR="009471E6" w:rsidRDefault="009471E6" w:rsidP="00C332F8">
      <w:pPr>
        <w:pStyle w:val="Default"/>
        <w:jc w:val="both"/>
        <w:rPr>
          <w:rFonts w:ascii="Arial" w:hAnsi="Arial" w:cs="Arial"/>
        </w:rPr>
      </w:pPr>
    </w:p>
    <w:p w14:paraId="14FB8076" w14:textId="02A57DE9" w:rsidR="009471E6" w:rsidRPr="009471E6" w:rsidRDefault="009471E6" w:rsidP="00C332F8">
      <w:pPr>
        <w:pStyle w:val="Default"/>
        <w:jc w:val="both"/>
        <w:rPr>
          <w:rFonts w:ascii="Arial" w:hAnsi="Arial" w:cs="Arial"/>
          <w:b/>
        </w:rPr>
      </w:pPr>
      <w:r w:rsidRPr="009471E6">
        <w:rPr>
          <w:rFonts w:ascii="Arial" w:hAnsi="Arial" w:cs="Arial"/>
          <w:b/>
        </w:rPr>
        <w:t xml:space="preserve">4.3. Emisije u tlo </w:t>
      </w:r>
    </w:p>
    <w:p w14:paraId="43E8EDC3" w14:textId="1B7E242A" w:rsidR="009471E6" w:rsidRDefault="009471E6" w:rsidP="00C332F8">
      <w:pPr>
        <w:pStyle w:val="Default"/>
        <w:jc w:val="both"/>
        <w:rPr>
          <w:rFonts w:ascii="Arial" w:hAnsi="Arial" w:cs="Arial"/>
        </w:rPr>
      </w:pPr>
      <w:r>
        <w:rPr>
          <w:rFonts w:ascii="Arial" w:hAnsi="Arial" w:cs="Arial"/>
        </w:rPr>
        <w:t xml:space="preserve">Aktivnostima koje se vrše u pogonu za toplo pocinčavanje metalnih pozicija – cinkaona ne nastaju emisije u tlo jer nema nikakvih direktnih niti indirektnih ispuštanja zagađujućih materija u tlo. </w:t>
      </w:r>
    </w:p>
    <w:p w14:paraId="0A9A43DD" w14:textId="26598F7C" w:rsidR="009471E6" w:rsidRDefault="009471E6" w:rsidP="00C332F8">
      <w:pPr>
        <w:pStyle w:val="Default"/>
        <w:jc w:val="both"/>
        <w:rPr>
          <w:rFonts w:ascii="Arial" w:hAnsi="Arial" w:cs="Arial"/>
        </w:rPr>
      </w:pPr>
    </w:p>
    <w:p w14:paraId="54E25718" w14:textId="177B1746" w:rsidR="009471E6" w:rsidRPr="009471E6" w:rsidRDefault="009471E6" w:rsidP="00C332F8">
      <w:pPr>
        <w:pStyle w:val="Default"/>
        <w:jc w:val="both"/>
        <w:rPr>
          <w:rFonts w:ascii="Arial" w:hAnsi="Arial" w:cs="Arial"/>
          <w:b/>
        </w:rPr>
      </w:pPr>
      <w:r w:rsidRPr="009471E6">
        <w:rPr>
          <w:rFonts w:ascii="Arial" w:hAnsi="Arial" w:cs="Arial"/>
          <w:b/>
        </w:rPr>
        <w:t>4.4. Emisije buke</w:t>
      </w:r>
    </w:p>
    <w:p w14:paraId="334D9F84" w14:textId="457F7BEE" w:rsidR="009471E6" w:rsidRDefault="009471E6" w:rsidP="00C332F8">
      <w:pPr>
        <w:pStyle w:val="Default"/>
        <w:jc w:val="both"/>
        <w:rPr>
          <w:rFonts w:ascii="Arial" w:hAnsi="Arial" w:cs="Arial"/>
        </w:rPr>
      </w:pPr>
      <w:r>
        <w:rPr>
          <w:rFonts w:ascii="Arial" w:hAnsi="Arial" w:cs="Arial"/>
        </w:rPr>
        <w:t>Prema Izvještaju o mjerneju buke za kompaniju „IBRA“ d.o.o. Tuzla, juni 2024. godine ur</w:t>
      </w:r>
      <w:r w:rsidR="00423639">
        <w:rPr>
          <w:rFonts w:ascii="Arial" w:hAnsi="Arial" w:cs="Arial"/>
        </w:rPr>
        <w:t>ađenom od strane „TQM“ d.o.o. L</w:t>
      </w:r>
      <w:r>
        <w:rPr>
          <w:rFonts w:ascii="Arial" w:hAnsi="Arial" w:cs="Arial"/>
        </w:rPr>
        <w:t>ukavac konstatovano je da mjerenja okolinske buke su zadovoljavajuća.</w:t>
      </w:r>
    </w:p>
    <w:p w14:paraId="364F73B5" w14:textId="0C4250B3" w:rsidR="00E10593" w:rsidRDefault="00E10593" w:rsidP="00C332F8">
      <w:pPr>
        <w:pStyle w:val="Default"/>
        <w:jc w:val="both"/>
        <w:rPr>
          <w:rFonts w:ascii="Arial" w:hAnsi="Arial" w:cs="Arial"/>
        </w:rPr>
      </w:pPr>
    </w:p>
    <w:p w14:paraId="671EA902" w14:textId="4CFB3FD3" w:rsidR="00E10593" w:rsidRDefault="00E10593" w:rsidP="00C332F8">
      <w:pPr>
        <w:pStyle w:val="Default"/>
        <w:jc w:val="both"/>
        <w:rPr>
          <w:rFonts w:ascii="Arial" w:hAnsi="Arial" w:cs="Arial"/>
          <w:b/>
        </w:rPr>
      </w:pPr>
      <w:r w:rsidRPr="00E10593">
        <w:rPr>
          <w:rFonts w:ascii="Arial" w:hAnsi="Arial" w:cs="Arial"/>
          <w:b/>
        </w:rPr>
        <w:t>4.5. Vrsta i količina otpada koja nastaje na predmetnom lokalitetu</w:t>
      </w:r>
    </w:p>
    <w:p w14:paraId="4E98BA37" w14:textId="6F2206F5" w:rsidR="00E10593" w:rsidRDefault="00E10593" w:rsidP="00C332F8">
      <w:pPr>
        <w:pStyle w:val="Default"/>
        <w:jc w:val="both"/>
        <w:rPr>
          <w:rFonts w:ascii="Arial" w:hAnsi="Arial" w:cs="Arial"/>
        </w:rPr>
      </w:pPr>
      <w:r>
        <w:rPr>
          <w:rFonts w:ascii="Arial" w:hAnsi="Arial" w:cs="Arial"/>
        </w:rPr>
        <w:t>Na predmetnom lokalitetu nastaju sljedeće vrste otpada:</w:t>
      </w:r>
    </w:p>
    <w:p w14:paraId="38189B29" w14:textId="22881E8A" w:rsidR="00E10593" w:rsidRDefault="00E10593" w:rsidP="00E10593">
      <w:pPr>
        <w:pStyle w:val="Default"/>
        <w:numPr>
          <w:ilvl w:val="0"/>
          <w:numId w:val="1"/>
        </w:numPr>
        <w:jc w:val="both"/>
        <w:rPr>
          <w:rFonts w:ascii="Arial" w:hAnsi="Arial" w:cs="Arial"/>
        </w:rPr>
      </w:pPr>
      <w:r>
        <w:rPr>
          <w:rFonts w:ascii="Arial" w:hAnsi="Arial" w:cs="Arial"/>
        </w:rPr>
        <w:t>Komunalni otpad</w:t>
      </w:r>
    </w:p>
    <w:p w14:paraId="5B085924" w14:textId="742AC699" w:rsidR="009746E9" w:rsidRDefault="009746E9" w:rsidP="00E10593">
      <w:pPr>
        <w:pStyle w:val="Default"/>
        <w:numPr>
          <w:ilvl w:val="0"/>
          <w:numId w:val="1"/>
        </w:numPr>
        <w:jc w:val="both"/>
        <w:rPr>
          <w:rFonts w:ascii="Arial" w:hAnsi="Arial" w:cs="Arial"/>
        </w:rPr>
      </w:pPr>
      <w:r>
        <w:rPr>
          <w:rFonts w:ascii="Arial" w:hAnsi="Arial" w:cs="Arial"/>
        </w:rPr>
        <w:t>Otpad iz proizvodnje</w:t>
      </w:r>
      <w:r w:rsidR="00423639">
        <w:rPr>
          <w:rFonts w:ascii="Arial" w:hAnsi="Arial" w:cs="Arial"/>
        </w:rPr>
        <w:t xml:space="preserve"> i to: tvrdi cink, pepeo cink, c</w:t>
      </w:r>
      <w:r>
        <w:rPr>
          <w:rFonts w:ascii="Arial" w:hAnsi="Arial" w:cs="Arial"/>
        </w:rPr>
        <w:t>rveni mulj ( talog željezo oksida) i istrošena hlorovodonična kiselina.</w:t>
      </w:r>
    </w:p>
    <w:p w14:paraId="493DC757" w14:textId="77777777" w:rsidR="00097849" w:rsidRDefault="00097849" w:rsidP="00097849">
      <w:pPr>
        <w:pStyle w:val="Default"/>
        <w:ind w:left="720"/>
        <w:jc w:val="both"/>
        <w:rPr>
          <w:rFonts w:ascii="Arial" w:hAnsi="Arial" w:cs="Arial"/>
        </w:rPr>
      </w:pPr>
    </w:p>
    <w:p w14:paraId="18290BD5" w14:textId="08D7734A" w:rsidR="009746E9" w:rsidRDefault="009746E9" w:rsidP="009746E9">
      <w:pPr>
        <w:pStyle w:val="Default"/>
        <w:jc w:val="both"/>
        <w:rPr>
          <w:rFonts w:ascii="Arial" w:hAnsi="Arial" w:cs="Arial"/>
        </w:rPr>
      </w:pPr>
      <w:r>
        <w:rPr>
          <w:rFonts w:ascii="Arial" w:hAnsi="Arial" w:cs="Arial"/>
        </w:rPr>
        <w:t>Komunalni otpad nastaje u kancelarijskim prostorijama i čajnoj kuhinji. U komunalni otpad spada ambalaža, papir, karton i slično. Tvrdi cink nastaje u kadi u kojoj se vrši pocinčavanje metalnih predmeta, i dolazi do taloženja pri normalnom radu. Ova vrsta otpada spada u  sekudarne sirovine te se kao takva prikuplja i prodaje. Pep</w:t>
      </w:r>
      <w:r w:rsidR="00423639">
        <w:rPr>
          <w:rFonts w:ascii="Arial" w:hAnsi="Arial" w:cs="Arial"/>
        </w:rPr>
        <w:t>e</w:t>
      </w:r>
      <w:r>
        <w:rPr>
          <w:rFonts w:ascii="Arial" w:hAnsi="Arial" w:cs="Arial"/>
        </w:rPr>
        <w:t>o cinka nastaje u procesu pocinčavanja i to direktno iz kade u kojoj se topi cink i uranja</w:t>
      </w:r>
      <w:r w:rsidR="00097849">
        <w:rPr>
          <w:rFonts w:ascii="Arial" w:hAnsi="Arial" w:cs="Arial"/>
        </w:rPr>
        <w:t>ju predmeti koji se pocinčavaju. Na industrijskom filteru nastaje talog od pepela</w:t>
      </w:r>
      <w:r w:rsidR="00423639">
        <w:rPr>
          <w:rFonts w:ascii="Arial" w:hAnsi="Arial" w:cs="Arial"/>
        </w:rPr>
        <w:t xml:space="preserve"> </w:t>
      </w:r>
      <w:r w:rsidR="00097849">
        <w:rPr>
          <w:rFonts w:ascii="Arial" w:hAnsi="Arial" w:cs="Arial"/>
        </w:rPr>
        <w:t>cinka koji se prikuplja i prodaje kao sekudarna sirovina.</w:t>
      </w:r>
    </w:p>
    <w:p w14:paraId="6CD8814B" w14:textId="7987A338" w:rsidR="00097849" w:rsidRPr="00E10593" w:rsidRDefault="00097849" w:rsidP="009746E9">
      <w:pPr>
        <w:pStyle w:val="Default"/>
        <w:jc w:val="both"/>
        <w:rPr>
          <w:rFonts w:ascii="Arial" w:hAnsi="Arial" w:cs="Arial"/>
        </w:rPr>
      </w:pPr>
      <w:r>
        <w:rPr>
          <w:rFonts w:ascii="Arial" w:hAnsi="Arial" w:cs="Arial"/>
        </w:rPr>
        <w:t>Crveni mulj predstavljaju profiltrirane i nakupljene suspedovane materije iz otpadnih tehnoloških voda i iz procesa galvanizacije. Ovi talozi sadrže suspedovane čestice obrađenih materijala i hemijski izreagovanih komponentni, opasne materije i drugo. Kao takvi, oni se moraju na poseban način deponovati, a po mogućnosti može se izvšiti regenracija tj.</w:t>
      </w:r>
      <w:r w:rsidR="00F110B3">
        <w:rPr>
          <w:rFonts w:ascii="Arial" w:hAnsi="Arial" w:cs="Arial"/>
        </w:rPr>
        <w:t xml:space="preserve"> </w:t>
      </w:r>
      <w:r>
        <w:rPr>
          <w:rFonts w:ascii="Arial" w:hAnsi="Arial" w:cs="Arial"/>
        </w:rPr>
        <w:t>izdvajanje suspendiranih čestica npr. metala iz njega. Galvanski talog nastao u proizvodnim prostorijama firme IBRA je na bazi željeza.</w:t>
      </w:r>
    </w:p>
    <w:p w14:paraId="77264D1D" w14:textId="6EB7DB10" w:rsidR="00DB4F74" w:rsidRPr="00097849" w:rsidRDefault="00DB4F74" w:rsidP="00097849">
      <w:pPr>
        <w:pStyle w:val="Default"/>
        <w:jc w:val="both"/>
        <w:rPr>
          <w:rFonts w:ascii="Arial" w:hAnsi="Arial" w:cs="Arial"/>
          <w:b/>
        </w:rPr>
      </w:pPr>
    </w:p>
    <w:p w14:paraId="136939C3" w14:textId="77777777" w:rsidR="00EC1E87" w:rsidRDefault="00EC1E87" w:rsidP="00EC1E87">
      <w:pPr>
        <w:jc w:val="both"/>
        <w:rPr>
          <w:rFonts w:ascii="Arial" w:hAnsi="Arial" w:cs="Arial"/>
        </w:rPr>
      </w:pPr>
    </w:p>
    <w:p w14:paraId="46D9BACB" w14:textId="645636FA" w:rsidR="00EC1E87" w:rsidRPr="00380E8F" w:rsidRDefault="0054617E" w:rsidP="00EC1E87">
      <w:pPr>
        <w:jc w:val="both"/>
        <w:rPr>
          <w:rFonts w:ascii="Arial" w:hAnsi="Arial" w:cs="Arial"/>
          <w:b/>
        </w:rPr>
      </w:pPr>
      <w:r w:rsidRPr="00380E8F">
        <w:rPr>
          <w:rFonts w:ascii="Arial" w:hAnsi="Arial" w:cs="Arial"/>
          <w:b/>
        </w:rPr>
        <w:t>5</w:t>
      </w:r>
      <w:r w:rsidR="0090238E" w:rsidRPr="00380E8F">
        <w:rPr>
          <w:rFonts w:ascii="Arial" w:hAnsi="Arial" w:cs="Arial"/>
          <w:b/>
        </w:rPr>
        <w:t xml:space="preserve">. Opis predloženih mjera, tehnologija i drugih tehnika za </w:t>
      </w:r>
      <w:r w:rsidR="00380E8F" w:rsidRPr="00380E8F">
        <w:rPr>
          <w:rFonts w:ascii="Arial" w:hAnsi="Arial" w:cs="Arial"/>
          <w:b/>
        </w:rPr>
        <w:t>sprječavanje ili ukoliko to nije moguće, smanjenje emisija iz postrojenja</w:t>
      </w:r>
    </w:p>
    <w:p w14:paraId="0B02D282" w14:textId="63B905C8" w:rsidR="00380E8F" w:rsidRDefault="00380E8F" w:rsidP="00EC1E87">
      <w:pPr>
        <w:jc w:val="both"/>
        <w:rPr>
          <w:rFonts w:ascii="Arial" w:hAnsi="Arial" w:cs="Arial"/>
          <w:b/>
        </w:rPr>
      </w:pPr>
      <w:r>
        <w:rPr>
          <w:rFonts w:ascii="Arial" w:hAnsi="Arial" w:cs="Arial"/>
          <w:b/>
        </w:rPr>
        <w:t>5.1. Mjere za sprečavanje emisija u zrak</w:t>
      </w:r>
    </w:p>
    <w:p w14:paraId="10E55E61" w14:textId="408999F1" w:rsidR="00380E8F" w:rsidRDefault="00380E8F" w:rsidP="00EC1E87">
      <w:pPr>
        <w:jc w:val="both"/>
        <w:rPr>
          <w:rFonts w:ascii="Arial" w:hAnsi="Arial" w:cs="Arial"/>
        </w:rPr>
      </w:pPr>
      <w:r w:rsidRPr="00380E8F">
        <w:rPr>
          <w:rFonts w:ascii="Arial" w:hAnsi="Arial" w:cs="Arial"/>
        </w:rPr>
        <w:t xml:space="preserve">Mjere za sprečavanje emisija u zrak obuhvataju redovan monitoring zagađujućih materija, u skladu s planom monitoringa iz okolinske dozvole i važećom zakonskom regulativom. Ventilacioni sistem u pogonu za toplo pocinčavanje metalnih panela mora se redovno čistiti i tehnički održavati. Također, potrebno je redovno održavati asfaltirane manipulativne površine unutar kruga pogona. Emisije zagađujućih plinova iz SUS motora </w:t>
      </w:r>
      <w:r w:rsidR="00A32DA8">
        <w:rPr>
          <w:rFonts w:ascii="Arial" w:hAnsi="Arial" w:cs="Arial"/>
        </w:rPr>
        <w:t xml:space="preserve">vozila </w:t>
      </w:r>
      <w:r w:rsidRPr="00380E8F">
        <w:rPr>
          <w:rFonts w:ascii="Arial" w:hAnsi="Arial" w:cs="Arial"/>
        </w:rPr>
        <w:t>mogu se smanjiti upotrebom novije mehanizacije, redovnim servisiranjem i korištenjem kvalitetnog goriva. Radno osoblje dužno je provoditi sve raspoložive mjere za zaštitu zraka i sprečavanje zagađenja, uključujući i mjere zaštite od požara. Uz striktno pridržavanje mjera za sprečavanje zaprašivanja, ne očekuje se negativan uticaj na kvalitet zraka na predmetnoj lokaciji.</w:t>
      </w:r>
    </w:p>
    <w:p w14:paraId="031EA125" w14:textId="4918ACEE" w:rsidR="00A32DA8" w:rsidRDefault="00A32DA8" w:rsidP="00EC1E87">
      <w:pPr>
        <w:jc w:val="both"/>
        <w:rPr>
          <w:rFonts w:ascii="Arial" w:hAnsi="Arial" w:cs="Arial"/>
        </w:rPr>
      </w:pPr>
    </w:p>
    <w:p w14:paraId="79C161A2" w14:textId="77777777" w:rsidR="004E71BE" w:rsidRDefault="00A32DA8" w:rsidP="004E71BE">
      <w:pPr>
        <w:jc w:val="both"/>
        <w:rPr>
          <w:rFonts w:ascii="Arial" w:hAnsi="Arial" w:cs="Arial"/>
          <w:b/>
        </w:rPr>
      </w:pPr>
      <w:r w:rsidRPr="00A32DA8">
        <w:rPr>
          <w:rFonts w:ascii="Arial" w:hAnsi="Arial" w:cs="Arial"/>
          <w:b/>
        </w:rPr>
        <w:t xml:space="preserve">5.2. Mjere za sprečavanje i </w:t>
      </w:r>
      <w:r w:rsidR="004E71BE">
        <w:rPr>
          <w:rFonts w:ascii="Arial" w:hAnsi="Arial" w:cs="Arial"/>
          <w:b/>
        </w:rPr>
        <w:t>smanjenje zagađenje voda i tla:</w:t>
      </w:r>
    </w:p>
    <w:p w14:paraId="64FE314E" w14:textId="58D1B32B" w:rsidR="00E477F6" w:rsidRPr="004E71BE" w:rsidRDefault="00E477F6" w:rsidP="004E71BE">
      <w:pPr>
        <w:jc w:val="both"/>
        <w:rPr>
          <w:rFonts w:ascii="Arial" w:hAnsi="Arial" w:cs="Arial"/>
          <w:b/>
        </w:rPr>
      </w:pPr>
      <w:r w:rsidRPr="00E477F6">
        <w:rPr>
          <w:rFonts w:ascii="Arial" w:hAnsi="Arial" w:cs="Arial"/>
        </w:rPr>
        <w:t>Potrebno je obezbijediti da sistem za prikupljanje, prečišćavanje i ispuštanje otpadnih voda sa lokacije pogona za toplo pocinčavanje metalnih pozicija, uključujući prateće sadržaje, bude stalno funkcionalan i korišćen u skladu sa svojom namjenom, kao i u skladu sa uslovima propisanim važećom vodnom dozvolom.</w:t>
      </w:r>
      <w:r>
        <w:rPr>
          <w:rFonts w:ascii="Arial" w:hAnsi="Arial" w:cs="Arial"/>
          <w:lang w:val="en-US" w:eastAsia="en-US"/>
        </w:rPr>
        <w:t xml:space="preserve"> </w:t>
      </w:r>
      <w:r w:rsidRPr="00E477F6">
        <w:rPr>
          <w:rFonts w:ascii="Arial" w:hAnsi="Arial" w:cs="Arial"/>
        </w:rPr>
        <w:t>Kako bi se spriječio mogući negativan uticaj pogona na povećano prisustvo metala u oborinskim i podzemnim vodama, potrebno je kontinuirano vršiti monitoring. Monitoring se sprovodi na izlazu iz zacjevljenog potoka, u pijezometrima, te na ispustima oborinskih voda koje se ulivaju u potok i gradsku kanalizaciju.</w:t>
      </w:r>
      <w:r>
        <w:rPr>
          <w:rFonts w:ascii="Arial" w:hAnsi="Arial" w:cs="Arial"/>
          <w:lang w:val="en-US" w:eastAsia="en-US"/>
        </w:rPr>
        <w:t xml:space="preserve"> </w:t>
      </w:r>
      <w:r w:rsidRPr="00E477F6">
        <w:rPr>
          <w:rFonts w:ascii="Arial" w:hAnsi="Arial" w:cs="Arial"/>
        </w:rPr>
        <w:t>Neophodno je redovno vršiti čišćenje i održavanje taložnika i svih pratećih elemenata sistema, kao i organizovati odvoz i pravilno zbrinjavanje otpadnog mulja, taloga i opasnog otpada sa lokacije, isključivo putem ovlaštenih pravnih lica.</w:t>
      </w:r>
      <w:r>
        <w:rPr>
          <w:rFonts w:ascii="Arial" w:hAnsi="Arial" w:cs="Arial"/>
          <w:lang w:val="en-US" w:eastAsia="en-US"/>
        </w:rPr>
        <w:t xml:space="preserve"> </w:t>
      </w:r>
      <w:r w:rsidRPr="00E477F6">
        <w:rPr>
          <w:rFonts w:ascii="Arial" w:hAnsi="Arial" w:cs="Arial"/>
        </w:rPr>
        <w:t>Svakodnevno čišćenje vanjskih manipulativnih površina, uključujući radni plato i vanjsko skladište, obavezno je radi sprečavanja ispiranja otpadnih materija u kanalizaciju i podzemne vode.</w:t>
      </w:r>
      <w:r w:rsidR="00423639">
        <w:rPr>
          <w:rFonts w:ascii="Arial" w:hAnsi="Arial" w:cs="Arial"/>
        </w:rPr>
        <w:t xml:space="preserve"> </w:t>
      </w:r>
      <w:r w:rsidRPr="00E477F6">
        <w:rPr>
          <w:rFonts w:ascii="Arial" w:hAnsi="Arial" w:cs="Arial"/>
        </w:rPr>
        <w:t>Zabranjeno je ispuštanje bilo kakvih hemikalija i drugih štetnih supstanci u kanalizacione odvode, jer bi to moglo narušiti kvalitet otpadnih voda i negativno uticati na vodni ekosistem.</w:t>
      </w:r>
      <w:r w:rsidR="00423639">
        <w:rPr>
          <w:rFonts w:ascii="Arial" w:hAnsi="Arial" w:cs="Arial"/>
        </w:rPr>
        <w:t xml:space="preserve"> </w:t>
      </w:r>
      <w:r w:rsidRPr="00E477F6">
        <w:rPr>
          <w:rFonts w:ascii="Arial" w:hAnsi="Arial" w:cs="Arial"/>
        </w:rPr>
        <w:t>Na lokaciji pogona mora biti obezbijeđena odgovarajuća oprema za brzu intervenciju u slučaju nekontrolisanog isticanja opasnih materija (kao što su piljevina, apsorbensi, posude za prikupljanje i uređaji za pretakanje), radi sprečavanja mogućeg zagađenja tla i voda.</w:t>
      </w:r>
      <w:r>
        <w:rPr>
          <w:rFonts w:ascii="Arial" w:hAnsi="Arial" w:cs="Arial"/>
          <w:lang w:val="en-US" w:eastAsia="en-US"/>
        </w:rPr>
        <w:t xml:space="preserve"> </w:t>
      </w:r>
      <w:r w:rsidRPr="00E477F6">
        <w:rPr>
          <w:rFonts w:ascii="Arial" w:hAnsi="Arial" w:cs="Arial"/>
        </w:rPr>
        <w:t>Korisnik je dužan pridržavati se svih mjera i uslova propisanih od strane drugih nadležnih organa, koji se odnose na korišćenje i zaštitu voda, pod uslovom da nisu u suprotnosti sa odredbama izdate vodne dozvole.</w:t>
      </w:r>
    </w:p>
    <w:p w14:paraId="3D2B581C" w14:textId="77777777" w:rsidR="004E71BE" w:rsidRDefault="004E71BE" w:rsidP="00E477F6">
      <w:pPr>
        <w:spacing w:before="100" w:beforeAutospacing="1" w:after="100" w:afterAutospacing="1"/>
        <w:jc w:val="both"/>
        <w:rPr>
          <w:rFonts w:ascii="Arial" w:hAnsi="Arial" w:cs="Arial"/>
          <w:b/>
        </w:rPr>
      </w:pPr>
    </w:p>
    <w:p w14:paraId="3518F94F" w14:textId="77777777" w:rsidR="00423639" w:rsidRDefault="004E71BE" w:rsidP="00423639">
      <w:pPr>
        <w:spacing w:before="100" w:beforeAutospacing="1" w:after="100" w:afterAutospacing="1"/>
        <w:contextualSpacing/>
        <w:jc w:val="both"/>
        <w:rPr>
          <w:rFonts w:ascii="Arial" w:hAnsi="Arial" w:cs="Arial"/>
          <w:b/>
        </w:rPr>
      </w:pPr>
      <w:r>
        <w:rPr>
          <w:rFonts w:ascii="Arial" w:hAnsi="Arial" w:cs="Arial"/>
          <w:b/>
        </w:rPr>
        <w:t>5.3. Mjere za zaštitu od buke</w:t>
      </w:r>
    </w:p>
    <w:p w14:paraId="2AAC636D" w14:textId="3EAFD930" w:rsidR="00D734EC" w:rsidRDefault="00E477F6" w:rsidP="00423639">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Redovno kvalitetno održavanje i podmazivanje  radnih </w:t>
      </w:r>
      <w:r w:rsidR="00423639">
        <w:rPr>
          <w:rFonts w:ascii="Arial" w:hAnsi="Arial" w:cs="Arial"/>
          <w:lang w:val="en-US" w:eastAsia="en-US"/>
        </w:rPr>
        <w:t>strojeva, uređaja, radne mehaniz</w:t>
      </w:r>
      <w:r>
        <w:rPr>
          <w:rFonts w:ascii="Arial" w:hAnsi="Arial" w:cs="Arial"/>
          <w:lang w:val="en-US" w:eastAsia="en-US"/>
        </w:rPr>
        <w:t>acije i drugo.  Prilikom izvođenj</w:t>
      </w:r>
      <w:r w:rsidR="00423639">
        <w:rPr>
          <w:rFonts w:ascii="Arial" w:hAnsi="Arial" w:cs="Arial"/>
          <w:lang w:val="en-US" w:eastAsia="en-US"/>
        </w:rPr>
        <w:t>a aktivnosti na na</w:t>
      </w:r>
      <w:r>
        <w:rPr>
          <w:rFonts w:ascii="Arial" w:hAnsi="Arial" w:cs="Arial"/>
          <w:lang w:val="en-US" w:eastAsia="en-US"/>
        </w:rPr>
        <w:t>čin da se proizvodi što manje buke i da buka sa prostora ne ometa okoliš i lokalno stanovništvo. Svi uposlenici koji rade u proizvodnom pogonu dužni su nositi zaštitnu opremu  za sluh (slušalice</w:t>
      </w:r>
      <w:r w:rsidR="00D734EC">
        <w:rPr>
          <w:rFonts w:ascii="Arial" w:hAnsi="Arial" w:cs="Arial"/>
          <w:lang w:val="en-US" w:eastAsia="en-US"/>
        </w:rPr>
        <w:t xml:space="preserve"> za uši). </w:t>
      </w:r>
      <w:r>
        <w:rPr>
          <w:rFonts w:ascii="Arial" w:hAnsi="Arial" w:cs="Arial"/>
          <w:lang w:val="en-US" w:eastAsia="en-US"/>
        </w:rPr>
        <w:t>Pored buke iz</w:t>
      </w:r>
      <w:r w:rsidR="00F110B3">
        <w:rPr>
          <w:rFonts w:ascii="Arial" w:hAnsi="Arial" w:cs="Arial"/>
          <w:lang w:val="en-US" w:eastAsia="en-US"/>
        </w:rPr>
        <w:t xml:space="preserve"> pogona, dodatnu buku stvaraju i</w:t>
      </w:r>
      <w:r>
        <w:rPr>
          <w:rFonts w:ascii="Arial" w:hAnsi="Arial" w:cs="Arial"/>
          <w:lang w:val="en-US" w:eastAsia="en-US"/>
        </w:rPr>
        <w:t xml:space="preserve"> transportna vozila unutrašnjeg saobraćaja. Na nivo buke koja nastaje radom istih, može se utjecati samo redovnim održavanjem. </w:t>
      </w:r>
      <w:r w:rsidR="00D734EC">
        <w:rPr>
          <w:rFonts w:ascii="Arial" w:hAnsi="Arial" w:cs="Arial"/>
          <w:lang w:val="en-US" w:eastAsia="en-US"/>
        </w:rPr>
        <w:t>Periodiči vršiti monitoring buke na granicama kruga prema najbližim kućama na osnovu plana monitori</w:t>
      </w:r>
      <w:r w:rsidR="00F110B3">
        <w:rPr>
          <w:rFonts w:ascii="Arial" w:hAnsi="Arial" w:cs="Arial"/>
          <w:lang w:val="en-US" w:eastAsia="en-US"/>
        </w:rPr>
        <w:t>ng u cilju kontrole niova buke i</w:t>
      </w:r>
      <w:r w:rsidR="00D734EC">
        <w:rPr>
          <w:rFonts w:ascii="Arial" w:hAnsi="Arial" w:cs="Arial"/>
          <w:lang w:val="en-US" w:eastAsia="en-US"/>
        </w:rPr>
        <w:t xml:space="preserve"> njenog uticaja na okoliš.</w:t>
      </w:r>
    </w:p>
    <w:p w14:paraId="10989E04" w14:textId="77777777" w:rsidR="00423639" w:rsidRPr="004E71BE" w:rsidRDefault="00423639" w:rsidP="00423639">
      <w:pPr>
        <w:spacing w:before="100" w:beforeAutospacing="1" w:after="100" w:afterAutospacing="1"/>
        <w:contextualSpacing/>
        <w:jc w:val="both"/>
        <w:rPr>
          <w:rFonts w:ascii="Arial" w:hAnsi="Arial" w:cs="Arial"/>
          <w:b/>
        </w:rPr>
      </w:pPr>
    </w:p>
    <w:p w14:paraId="5A11BA73" w14:textId="77777777" w:rsidR="00423639" w:rsidRDefault="00097849" w:rsidP="00423639">
      <w:pPr>
        <w:spacing w:before="100" w:beforeAutospacing="1" w:after="100" w:afterAutospacing="1"/>
        <w:contextualSpacing/>
        <w:jc w:val="both"/>
        <w:rPr>
          <w:rFonts w:ascii="Arial" w:hAnsi="Arial" w:cs="Arial"/>
          <w:b/>
          <w:lang w:val="en-US" w:eastAsia="en-US"/>
        </w:rPr>
      </w:pPr>
      <w:r w:rsidRPr="00097849">
        <w:rPr>
          <w:rFonts w:ascii="Arial" w:hAnsi="Arial" w:cs="Arial"/>
          <w:b/>
          <w:lang w:val="en-US" w:eastAsia="en-US"/>
        </w:rPr>
        <w:t>5.4. Mjere za sprečavanje nastanka otpada</w:t>
      </w:r>
    </w:p>
    <w:p w14:paraId="2DE563C1" w14:textId="7B2BCAD8" w:rsidR="00570475" w:rsidRPr="004E71BE" w:rsidRDefault="00570475" w:rsidP="00423639">
      <w:pPr>
        <w:spacing w:before="100" w:beforeAutospacing="1" w:after="100" w:afterAutospacing="1"/>
        <w:contextualSpacing/>
        <w:jc w:val="both"/>
        <w:rPr>
          <w:rFonts w:ascii="Arial" w:hAnsi="Arial" w:cs="Arial"/>
          <w:b/>
          <w:lang w:val="en-US" w:eastAsia="en-US"/>
        </w:rPr>
      </w:pPr>
      <w:r w:rsidRPr="00570475">
        <w:rPr>
          <w:rFonts w:ascii="Arial" w:eastAsia="Calibri" w:hAnsi="Arial" w:cs="Arial"/>
        </w:rPr>
        <w:t>Detaljnije informacije u vezi s nastajanjem otpada na lokaciji „</w:t>
      </w:r>
      <w:r w:rsidRPr="00570475">
        <w:rPr>
          <w:rFonts w:ascii="Arial" w:hAnsi="Arial" w:cs="Arial"/>
          <w:lang w:val="en-US" w:eastAsia="en-US"/>
        </w:rPr>
        <w:t>Miladije”</w:t>
      </w:r>
      <w:r w:rsidRPr="00570475">
        <w:rPr>
          <w:rFonts w:ascii="Arial" w:eastAsia="Calibri" w:hAnsi="Arial" w:cs="Arial"/>
        </w:rPr>
        <w:t xml:space="preserve"> u Tuzli navedene su u Planu upravljanja otpadom koji je izrađen kao zasebni dokument, ali predstavlja sastavni dio Zahtjeva za izdavanje okolinske dozvole.</w:t>
      </w:r>
    </w:p>
    <w:p w14:paraId="6C3B14E8" w14:textId="319DF408" w:rsidR="00570475" w:rsidRDefault="00570475" w:rsidP="00570475">
      <w:pPr>
        <w:autoSpaceDE w:val="0"/>
        <w:autoSpaceDN w:val="0"/>
        <w:adjustRightInd w:val="0"/>
        <w:jc w:val="both"/>
        <w:rPr>
          <w:rFonts w:ascii="Arial" w:eastAsia="Calibri" w:hAnsi="Arial" w:cs="Arial"/>
        </w:rPr>
      </w:pPr>
    </w:p>
    <w:p w14:paraId="13A7922D" w14:textId="53DABCFD" w:rsidR="00570475" w:rsidRPr="0060733D" w:rsidRDefault="0060733D" w:rsidP="00423639">
      <w:pPr>
        <w:autoSpaceDE w:val="0"/>
        <w:autoSpaceDN w:val="0"/>
        <w:adjustRightInd w:val="0"/>
        <w:contextualSpacing/>
        <w:jc w:val="both"/>
        <w:rPr>
          <w:rFonts w:ascii="Arial" w:hAnsi="Arial" w:cs="Arial"/>
          <w:b/>
          <w:color w:val="000000"/>
          <w:lang w:val="en-US" w:eastAsia="en-US"/>
        </w:rPr>
      </w:pPr>
      <w:r w:rsidRPr="0060733D">
        <w:rPr>
          <w:rFonts w:ascii="Arial" w:hAnsi="Arial" w:cs="Arial"/>
          <w:b/>
          <w:color w:val="000000"/>
          <w:lang w:val="en-US" w:eastAsia="en-US"/>
        </w:rPr>
        <w:t>6. Granične vrijednosti emisija za zagađujuće materije</w:t>
      </w:r>
    </w:p>
    <w:p w14:paraId="73818EAF" w14:textId="5AF894E8" w:rsidR="0060733D" w:rsidRDefault="0060733D" w:rsidP="00423639">
      <w:pPr>
        <w:autoSpaceDE w:val="0"/>
        <w:autoSpaceDN w:val="0"/>
        <w:adjustRightInd w:val="0"/>
        <w:contextualSpacing/>
        <w:jc w:val="both"/>
        <w:rPr>
          <w:rFonts w:ascii="Arial" w:hAnsi="Arial" w:cs="Arial"/>
          <w:b/>
          <w:color w:val="000000"/>
          <w:lang w:val="en-US" w:eastAsia="en-US"/>
        </w:rPr>
      </w:pPr>
      <w:r w:rsidRPr="0060733D">
        <w:rPr>
          <w:rFonts w:ascii="Arial" w:hAnsi="Arial" w:cs="Arial"/>
          <w:b/>
          <w:color w:val="000000"/>
          <w:lang w:val="en-US" w:eastAsia="en-US"/>
        </w:rPr>
        <w:t>6.1. Granične vrijednosti emisija zagađujućih emisija u zrak</w:t>
      </w:r>
    </w:p>
    <w:p w14:paraId="5C63AF35" w14:textId="6DDC0487" w:rsidR="0060733D" w:rsidRPr="0060733D" w:rsidRDefault="0060733D" w:rsidP="00423639">
      <w:pPr>
        <w:contextualSpacing/>
        <w:jc w:val="both"/>
        <w:rPr>
          <w:rFonts w:ascii="Arial" w:hAnsi="Arial" w:cs="Arial"/>
          <w:lang w:val="en-US" w:eastAsia="en-US"/>
        </w:rPr>
      </w:pPr>
      <w:r w:rsidRPr="0060733D">
        <w:rPr>
          <w:rFonts w:ascii="Arial" w:hAnsi="Arial" w:cs="Arial"/>
          <w:lang w:val="en-US" w:eastAsia="en-US"/>
        </w:rPr>
        <w:t xml:space="preserve">Mjeriti granične vrijednosti emisije prašine u skladu sa Pravilnikom o graničnim vrijednostima  emisija zagađujućih materija u zrak </w:t>
      </w:r>
      <w:r w:rsidRPr="0060733D">
        <w:rPr>
          <w:rFonts w:ascii="Arial" w:hAnsi="Arial" w:cs="Arial"/>
          <w:shd w:val="clear" w:color="auto" w:fill="FFFFFF"/>
          <w:lang w:val="en-US" w:eastAsia="en-US"/>
        </w:rPr>
        <w:t>(“Službene novine </w:t>
      </w:r>
      <w:r w:rsidRPr="0060733D">
        <w:rPr>
          <w:rFonts w:ascii="Arial" w:hAnsi="Arial" w:cs="Arial"/>
          <w:bCs/>
          <w:shd w:val="clear" w:color="auto" w:fill="FFFFFF"/>
          <w:lang w:val="en-US" w:eastAsia="en-US"/>
        </w:rPr>
        <w:t>Federacije BiH”,  broj 12/05)</w:t>
      </w:r>
      <w:r w:rsidRPr="0060733D">
        <w:rPr>
          <w:rFonts w:ascii="Arial" w:hAnsi="Arial" w:cs="Arial"/>
          <w:lang w:val="en-US" w:eastAsia="en-US"/>
        </w:rPr>
        <w:t xml:space="preserve">. </w:t>
      </w:r>
    </w:p>
    <w:p w14:paraId="62C7DA6C" w14:textId="3D4E3856" w:rsidR="0060733D" w:rsidRDefault="0060733D" w:rsidP="00570475">
      <w:pPr>
        <w:autoSpaceDE w:val="0"/>
        <w:autoSpaceDN w:val="0"/>
        <w:adjustRightInd w:val="0"/>
        <w:jc w:val="both"/>
        <w:rPr>
          <w:rFonts w:ascii="Arial" w:hAnsi="Arial" w:cs="Arial"/>
          <w:b/>
          <w:color w:val="000000"/>
          <w:lang w:val="en-US" w:eastAsia="en-US"/>
        </w:rPr>
      </w:pPr>
    </w:p>
    <w:p w14:paraId="341234E0" w14:textId="77777777" w:rsidR="0060733D" w:rsidRPr="0060733D" w:rsidRDefault="0060733D" w:rsidP="0060733D">
      <w:pPr>
        <w:jc w:val="both"/>
        <w:rPr>
          <w:rFonts w:ascii="Arial" w:hAnsi="Arial" w:cs="Arial"/>
          <w:b/>
        </w:rPr>
      </w:pPr>
      <w:r>
        <w:rPr>
          <w:rFonts w:ascii="Arial" w:hAnsi="Arial" w:cs="Arial"/>
          <w:b/>
          <w:color w:val="000000"/>
          <w:lang w:val="en-US" w:eastAsia="en-US"/>
        </w:rPr>
        <w:t xml:space="preserve">6.2. </w:t>
      </w:r>
      <w:r w:rsidRPr="0060733D">
        <w:rPr>
          <w:rFonts w:ascii="Arial" w:hAnsi="Arial" w:cs="Arial"/>
          <w:b/>
        </w:rPr>
        <w:t xml:space="preserve">Granične vrijednosti emisije za ispuštanje pročišćenih otpadnih voda </w:t>
      </w:r>
    </w:p>
    <w:p w14:paraId="39835715" w14:textId="77777777" w:rsidR="0060733D" w:rsidRPr="0060733D" w:rsidRDefault="0060733D" w:rsidP="0060733D">
      <w:pPr>
        <w:keepNext/>
        <w:outlineLvl w:val="1"/>
        <w:rPr>
          <w:rFonts w:ascii="Arial" w:hAnsi="Arial" w:cs="Arial"/>
          <w:b/>
          <w:bCs/>
          <w:iCs/>
          <w:lang w:val="pl-PL"/>
        </w:rPr>
      </w:pPr>
      <w:r w:rsidRPr="0060733D">
        <w:rPr>
          <w:rFonts w:ascii="Arial" w:hAnsi="Arial" w:cs="Arial"/>
          <w:b/>
          <w:bCs/>
          <w:iCs/>
          <w:lang w:val="pl-PL"/>
        </w:rPr>
        <w:t>Granične vrijednosti ispuštanja u vodu</w:t>
      </w:r>
    </w:p>
    <w:p w14:paraId="66F8F3E1" w14:textId="739850AF" w:rsidR="0060733D" w:rsidRDefault="0060733D" w:rsidP="0060733D">
      <w:pPr>
        <w:jc w:val="both"/>
        <w:rPr>
          <w:rFonts w:ascii="Arial" w:hAnsi="Arial" w:cs="Arial"/>
        </w:rPr>
      </w:pPr>
      <w:r w:rsidRPr="0060733D">
        <w:rPr>
          <w:rFonts w:ascii="Arial" w:hAnsi="Arial" w:cs="Arial"/>
          <w:lang w:val="hr-BA"/>
        </w:rPr>
        <w:t xml:space="preserve">Prije nego što se otpadne vode iz postrojenja za tretman otpadnih voda ispuste u površinske vode treba ih pročistiti do kvaliteta koji odgovara </w:t>
      </w:r>
      <w:r w:rsidRPr="0060733D">
        <w:rPr>
          <w:rFonts w:ascii="Arial" w:hAnsi="Arial" w:cs="Arial"/>
          <w:bdr w:val="none" w:sz="0" w:space="0" w:color="auto" w:frame="1"/>
        </w:rPr>
        <w:t>Uredbi o</w:t>
      </w:r>
      <w:r w:rsidRPr="0060733D">
        <w:rPr>
          <w:rFonts w:ascii="Arial" w:hAnsi="Arial" w:cs="Arial"/>
          <w:b/>
          <w:caps/>
        </w:rPr>
        <w:t xml:space="preserve"> </w:t>
      </w:r>
      <w:r w:rsidRPr="0060733D">
        <w:rPr>
          <w:rFonts w:ascii="Arial" w:hAnsi="Arial" w:cs="Arial"/>
          <w:bdr w:val="none" w:sz="0" w:space="0" w:color="auto" w:frame="1"/>
        </w:rPr>
        <w:t>uslovima ispuštanja otpadnih voda u okoliš i sistem javne kanalizacije</w:t>
      </w:r>
      <w:r w:rsidRPr="0060733D">
        <w:rPr>
          <w:rFonts w:ascii="Arial" w:hAnsi="Arial" w:cs="Arial"/>
        </w:rPr>
        <w:t xml:space="preserve"> („Službene  novine Federacije BiH“, br. 101/15, 1/16). </w:t>
      </w:r>
    </w:p>
    <w:p w14:paraId="2D9067E1" w14:textId="77777777" w:rsidR="004E71BE" w:rsidRPr="0060733D" w:rsidRDefault="004E71BE" w:rsidP="0060733D">
      <w:pPr>
        <w:jc w:val="both"/>
        <w:rPr>
          <w:rFonts w:ascii="Arial" w:hAnsi="Arial" w:cs="Arial"/>
        </w:rPr>
      </w:pPr>
    </w:p>
    <w:p w14:paraId="09CD42C8" w14:textId="126B467E" w:rsidR="0060733D" w:rsidRPr="00F974C2" w:rsidRDefault="0060733D" w:rsidP="0060733D">
      <w:pPr>
        <w:jc w:val="both"/>
        <w:rPr>
          <w:rFonts w:ascii="Arial" w:hAnsi="Arial" w:cs="Arial"/>
          <w:b/>
        </w:rPr>
      </w:pPr>
      <w:r w:rsidRPr="00F974C2">
        <w:rPr>
          <w:rFonts w:ascii="Arial" w:hAnsi="Arial" w:cs="Arial"/>
          <w:b/>
        </w:rPr>
        <w:t xml:space="preserve">6.3. Granične vrijednosti buke </w:t>
      </w:r>
    </w:p>
    <w:p w14:paraId="61C2CF5C" w14:textId="25CD073C" w:rsidR="00F974C2" w:rsidRDefault="00F974C2" w:rsidP="00F974C2">
      <w:pPr>
        <w:jc w:val="both"/>
        <w:rPr>
          <w:rFonts w:ascii="Arial" w:hAnsi="Arial" w:cs="Arial"/>
          <w:lang w:val="en-US" w:eastAsia="en-US"/>
        </w:rPr>
      </w:pPr>
      <w:r w:rsidRPr="00F974C2">
        <w:rPr>
          <w:rFonts w:ascii="Arial" w:hAnsi="Arial" w:cs="Arial"/>
          <w:lang w:val="en-US" w:eastAsia="en-US"/>
        </w:rPr>
        <w:t xml:space="preserve">Na osnovu </w:t>
      </w:r>
      <w:r w:rsidRPr="00F974C2">
        <w:rPr>
          <w:rFonts w:ascii="Arial" w:hAnsi="Arial" w:cs="Arial"/>
          <w:bCs/>
          <w:shd w:val="clear" w:color="auto" w:fill="FFFFFF"/>
          <w:lang w:val="en-US" w:eastAsia="en-US"/>
        </w:rPr>
        <w:t>Zakonu o zaštiti od buke</w:t>
      </w:r>
      <w:r w:rsidRPr="00F974C2">
        <w:rPr>
          <w:rFonts w:ascii="Arial" w:hAnsi="Arial" w:cs="Arial"/>
          <w:shd w:val="clear" w:color="auto" w:fill="FFFFFF"/>
          <w:lang w:val="en-US" w:eastAsia="en-US"/>
        </w:rPr>
        <w:t> (“Službene novine </w:t>
      </w:r>
      <w:r>
        <w:rPr>
          <w:rFonts w:ascii="Arial" w:hAnsi="Arial" w:cs="Arial"/>
          <w:bCs/>
          <w:shd w:val="clear" w:color="auto" w:fill="FFFFFF"/>
          <w:lang w:val="en-US" w:eastAsia="en-US"/>
        </w:rPr>
        <w:t>Federacije BiH”, broj 11</w:t>
      </w:r>
      <w:r w:rsidRPr="00F974C2">
        <w:rPr>
          <w:rFonts w:ascii="Arial" w:hAnsi="Arial" w:cs="Arial"/>
          <w:bCs/>
          <w:shd w:val="clear" w:color="auto" w:fill="FFFFFF"/>
          <w:lang w:val="en-US" w:eastAsia="en-US"/>
        </w:rPr>
        <w:t>0/12</w:t>
      </w:r>
      <w:r w:rsidRPr="00F974C2">
        <w:rPr>
          <w:rFonts w:ascii="Arial" w:hAnsi="Arial" w:cs="Arial"/>
          <w:shd w:val="clear" w:color="auto" w:fill="FFFFFF"/>
          <w:lang w:val="en-US" w:eastAsia="en-US"/>
        </w:rPr>
        <w:t>)</w:t>
      </w:r>
      <w:r w:rsidRPr="00F974C2">
        <w:rPr>
          <w:rFonts w:ascii="Arial" w:hAnsi="Arial" w:cs="Arial"/>
          <w:lang w:val="en-US" w:eastAsia="en-US"/>
        </w:rPr>
        <w:t>.</w:t>
      </w:r>
    </w:p>
    <w:p w14:paraId="459B4E41" w14:textId="77777777" w:rsidR="004E71BE" w:rsidRDefault="004E71BE" w:rsidP="00F974C2">
      <w:pPr>
        <w:jc w:val="both"/>
        <w:rPr>
          <w:rFonts w:ascii="Arial" w:hAnsi="Arial" w:cs="Arial"/>
          <w:lang w:val="en-US" w:eastAsia="en-US"/>
        </w:rPr>
      </w:pPr>
    </w:p>
    <w:p w14:paraId="7163CFFA" w14:textId="31B66E45" w:rsidR="00F974C2" w:rsidRPr="004E71BE" w:rsidRDefault="00F974C2" w:rsidP="004E71BE">
      <w:pPr>
        <w:rPr>
          <w:rFonts w:ascii="Arial" w:hAnsi="Arial" w:cs="Arial"/>
          <w:lang w:eastAsia="en-US"/>
        </w:rPr>
      </w:pPr>
      <w:r w:rsidRPr="004E71BE">
        <w:rPr>
          <w:rFonts w:ascii="Arial" w:hAnsi="Arial" w:cs="Arial"/>
          <w:bCs/>
          <w:lang w:eastAsia="en-US"/>
        </w:rPr>
        <w:t>Dozvoljeni nivoi vanjske buke –kod najbližih stambenih objekata</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1216"/>
        <w:gridCol w:w="4867"/>
        <w:gridCol w:w="718"/>
        <w:gridCol w:w="834"/>
        <w:gridCol w:w="1253"/>
        <w:gridCol w:w="23"/>
      </w:tblGrid>
      <w:tr w:rsidR="00F974C2" w:rsidRPr="00F974C2" w14:paraId="250A4969" w14:textId="77777777" w:rsidTr="006D6B19">
        <w:trPr>
          <w:trHeight w:val="300"/>
          <w:jc w:val="center"/>
        </w:trPr>
        <w:tc>
          <w:tcPr>
            <w:tcW w:w="682" w:type="pct"/>
            <w:vMerge w:val="restart"/>
            <w:shd w:val="clear" w:color="auto" w:fill="auto"/>
            <w:vAlign w:val="center"/>
          </w:tcPr>
          <w:p w14:paraId="1D2EACF3"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Područje (zona)</w:t>
            </w:r>
          </w:p>
        </w:tc>
        <w:tc>
          <w:tcPr>
            <w:tcW w:w="2731" w:type="pct"/>
            <w:vMerge w:val="restart"/>
            <w:shd w:val="clear" w:color="auto" w:fill="auto"/>
            <w:vAlign w:val="center"/>
          </w:tcPr>
          <w:p w14:paraId="22AD94F6"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Namjena područja</w:t>
            </w:r>
          </w:p>
        </w:tc>
        <w:tc>
          <w:tcPr>
            <w:tcW w:w="1587" w:type="pct"/>
            <w:gridSpan w:val="4"/>
            <w:shd w:val="clear" w:color="auto" w:fill="auto"/>
            <w:vAlign w:val="center"/>
          </w:tcPr>
          <w:p w14:paraId="78385B0F"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Najviši dozvoljeni nivo vanjske buke (dBA)</w:t>
            </w:r>
          </w:p>
        </w:tc>
      </w:tr>
      <w:tr w:rsidR="00F974C2" w:rsidRPr="004E71BE" w14:paraId="50D5F587" w14:textId="77777777" w:rsidTr="006D6B19">
        <w:trPr>
          <w:gridAfter w:val="1"/>
          <w:wAfter w:w="13" w:type="pct"/>
          <w:trHeight w:val="457"/>
          <w:jc w:val="center"/>
        </w:trPr>
        <w:tc>
          <w:tcPr>
            <w:tcW w:w="682" w:type="pct"/>
            <w:vMerge/>
            <w:shd w:val="clear" w:color="auto" w:fill="FFFFCC"/>
            <w:vAlign w:val="center"/>
          </w:tcPr>
          <w:p w14:paraId="16AEF778" w14:textId="77777777" w:rsidR="00F974C2" w:rsidRPr="004E71BE" w:rsidRDefault="00F974C2" w:rsidP="00F974C2">
            <w:pPr>
              <w:jc w:val="center"/>
              <w:rPr>
                <w:rFonts w:ascii="Arial" w:hAnsi="Arial" w:cs="Arial"/>
                <w:sz w:val="22"/>
                <w:szCs w:val="22"/>
                <w:lang w:val="en-US" w:eastAsia="en-US"/>
              </w:rPr>
            </w:pPr>
          </w:p>
        </w:tc>
        <w:tc>
          <w:tcPr>
            <w:tcW w:w="2731" w:type="pct"/>
            <w:vMerge/>
            <w:shd w:val="clear" w:color="auto" w:fill="FFFFCC"/>
            <w:vAlign w:val="center"/>
          </w:tcPr>
          <w:p w14:paraId="51588485" w14:textId="77777777" w:rsidR="00F974C2" w:rsidRPr="004E71BE" w:rsidRDefault="00F974C2" w:rsidP="00F974C2">
            <w:pPr>
              <w:jc w:val="center"/>
              <w:rPr>
                <w:rFonts w:ascii="Arial" w:hAnsi="Arial" w:cs="Arial"/>
                <w:sz w:val="22"/>
                <w:szCs w:val="22"/>
                <w:lang w:val="en-US" w:eastAsia="en-US"/>
              </w:rPr>
            </w:pPr>
          </w:p>
        </w:tc>
        <w:tc>
          <w:tcPr>
            <w:tcW w:w="871" w:type="pct"/>
            <w:gridSpan w:val="2"/>
            <w:shd w:val="clear" w:color="auto" w:fill="auto"/>
            <w:vAlign w:val="center"/>
          </w:tcPr>
          <w:p w14:paraId="4BE0B88F"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Leq</w:t>
            </w:r>
          </w:p>
        </w:tc>
        <w:tc>
          <w:tcPr>
            <w:tcW w:w="703" w:type="pct"/>
            <w:shd w:val="clear" w:color="auto" w:fill="auto"/>
            <w:vAlign w:val="center"/>
          </w:tcPr>
          <w:p w14:paraId="0715226A"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Vršni nivo</w:t>
            </w:r>
          </w:p>
        </w:tc>
      </w:tr>
      <w:tr w:rsidR="00F974C2" w:rsidRPr="00F974C2" w14:paraId="759FC348" w14:textId="77777777" w:rsidTr="004E71BE">
        <w:trPr>
          <w:trHeight w:val="70"/>
          <w:jc w:val="center"/>
        </w:trPr>
        <w:tc>
          <w:tcPr>
            <w:tcW w:w="682" w:type="pct"/>
            <w:vMerge/>
            <w:shd w:val="clear" w:color="auto" w:fill="FFFFCC"/>
            <w:vAlign w:val="center"/>
          </w:tcPr>
          <w:p w14:paraId="3B391EA6" w14:textId="77777777" w:rsidR="00F974C2" w:rsidRPr="004E71BE" w:rsidRDefault="00F974C2" w:rsidP="00F974C2">
            <w:pPr>
              <w:jc w:val="center"/>
              <w:rPr>
                <w:rFonts w:ascii="Arial" w:hAnsi="Arial" w:cs="Arial"/>
                <w:sz w:val="22"/>
                <w:szCs w:val="22"/>
                <w:lang w:val="en-US" w:eastAsia="en-US"/>
              </w:rPr>
            </w:pPr>
          </w:p>
        </w:tc>
        <w:tc>
          <w:tcPr>
            <w:tcW w:w="2731" w:type="pct"/>
            <w:vMerge/>
            <w:shd w:val="clear" w:color="auto" w:fill="FFFFCC"/>
            <w:vAlign w:val="center"/>
          </w:tcPr>
          <w:p w14:paraId="1959A1A5" w14:textId="77777777" w:rsidR="00F974C2" w:rsidRPr="004E71BE" w:rsidRDefault="00F974C2" w:rsidP="00F974C2">
            <w:pPr>
              <w:jc w:val="center"/>
              <w:rPr>
                <w:rFonts w:ascii="Arial" w:hAnsi="Arial" w:cs="Arial"/>
                <w:sz w:val="22"/>
                <w:szCs w:val="22"/>
                <w:lang w:val="en-US" w:eastAsia="en-US"/>
              </w:rPr>
            </w:pPr>
          </w:p>
        </w:tc>
        <w:tc>
          <w:tcPr>
            <w:tcW w:w="403" w:type="pct"/>
            <w:shd w:val="clear" w:color="auto" w:fill="auto"/>
            <w:vAlign w:val="center"/>
          </w:tcPr>
          <w:p w14:paraId="1E9AFA87"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Dan</w:t>
            </w:r>
          </w:p>
        </w:tc>
        <w:tc>
          <w:tcPr>
            <w:tcW w:w="468" w:type="pct"/>
            <w:shd w:val="clear" w:color="auto" w:fill="auto"/>
            <w:vAlign w:val="center"/>
          </w:tcPr>
          <w:p w14:paraId="3A89E0BD"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Noć</w:t>
            </w:r>
          </w:p>
        </w:tc>
        <w:tc>
          <w:tcPr>
            <w:tcW w:w="716" w:type="pct"/>
            <w:gridSpan w:val="2"/>
            <w:shd w:val="clear" w:color="auto" w:fill="auto"/>
            <w:vAlign w:val="center"/>
          </w:tcPr>
          <w:p w14:paraId="567F8861"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L1</w:t>
            </w:r>
          </w:p>
        </w:tc>
      </w:tr>
      <w:tr w:rsidR="00F974C2" w:rsidRPr="00F974C2" w14:paraId="7BA89BBE" w14:textId="77777777" w:rsidTr="006D6B19">
        <w:trPr>
          <w:jc w:val="center"/>
        </w:trPr>
        <w:tc>
          <w:tcPr>
            <w:tcW w:w="682" w:type="pct"/>
            <w:shd w:val="clear" w:color="auto" w:fill="auto"/>
            <w:vAlign w:val="center"/>
          </w:tcPr>
          <w:p w14:paraId="0D139D64"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IV</w:t>
            </w:r>
          </w:p>
        </w:tc>
        <w:tc>
          <w:tcPr>
            <w:tcW w:w="2731" w:type="pct"/>
            <w:shd w:val="clear" w:color="auto" w:fill="auto"/>
            <w:vAlign w:val="center"/>
          </w:tcPr>
          <w:p w14:paraId="4489BF19" w14:textId="77777777" w:rsidR="00F974C2" w:rsidRPr="004E71BE" w:rsidRDefault="00F974C2" w:rsidP="00F974C2">
            <w:pPr>
              <w:rPr>
                <w:rFonts w:ascii="Arial" w:hAnsi="Arial" w:cs="Arial"/>
                <w:sz w:val="22"/>
                <w:szCs w:val="22"/>
                <w:lang w:val="en-US" w:eastAsia="en-US"/>
              </w:rPr>
            </w:pPr>
            <w:r w:rsidRPr="004E71BE">
              <w:rPr>
                <w:rFonts w:ascii="Arial" w:hAnsi="Arial" w:cs="Arial"/>
                <w:sz w:val="22"/>
                <w:szCs w:val="22"/>
                <w:lang w:val="en-US" w:eastAsia="en-US"/>
              </w:rPr>
              <w:t>Trgovačko, poslovno, stambeno i stambeno uz prometne koridore, skladišta bez teškog transporta</w:t>
            </w:r>
          </w:p>
        </w:tc>
        <w:tc>
          <w:tcPr>
            <w:tcW w:w="403" w:type="pct"/>
            <w:shd w:val="clear" w:color="auto" w:fill="auto"/>
            <w:vAlign w:val="center"/>
          </w:tcPr>
          <w:p w14:paraId="7374FDA4"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60</w:t>
            </w:r>
          </w:p>
        </w:tc>
        <w:tc>
          <w:tcPr>
            <w:tcW w:w="468" w:type="pct"/>
            <w:shd w:val="clear" w:color="auto" w:fill="auto"/>
            <w:vAlign w:val="center"/>
          </w:tcPr>
          <w:p w14:paraId="6A337B6E"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50</w:t>
            </w:r>
          </w:p>
        </w:tc>
        <w:tc>
          <w:tcPr>
            <w:tcW w:w="716" w:type="pct"/>
            <w:gridSpan w:val="2"/>
            <w:shd w:val="clear" w:color="auto" w:fill="auto"/>
            <w:vAlign w:val="center"/>
          </w:tcPr>
          <w:p w14:paraId="541318BB" w14:textId="77777777" w:rsidR="00F974C2" w:rsidRPr="004E71BE" w:rsidRDefault="00F974C2" w:rsidP="00F974C2">
            <w:pPr>
              <w:jc w:val="center"/>
              <w:rPr>
                <w:rFonts w:ascii="Arial" w:hAnsi="Arial" w:cs="Arial"/>
                <w:sz w:val="22"/>
                <w:szCs w:val="22"/>
                <w:lang w:val="en-US" w:eastAsia="en-US"/>
              </w:rPr>
            </w:pPr>
            <w:r w:rsidRPr="004E71BE">
              <w:rPr>
                <w:rFonts w:ascii="Arial" w:hAnsi="Arial" w:cs="Arial"/>
                <w:sz w:val="22"/>
                <w:szCs w:val="22"/>
                <w:lang w:val="en-US" w:eastAsia="en-US"/>
              </w:rPr>
              <w:t>75</w:t>
            </w:r>
          </w:p>
        </w:tc>
      </w:tr>
    </w:tbl>
    <w:p w14:paraId="0E6BB1C0" w14:textId="77777777" w:rsidR="00F974C2" w:rsidRPr="00F974C2" w:rsidRDefault="00F974C2" w:rsidP="00F974C2">
      <w:pPr>
        <w:ind w:left="284"/>
        <w:jc w:val="both"/>
        <w:rPr>
          <w:rFonts w:ascii="Arial" w:hAnsi="Arial" w:cs="Arial"/>
          <w:sz w:val="22"/>
          <w:szCs w:val="22"/>
          <w:lang w:val="pl-PL" w:eastAsia="en-US"/>
        </w:rPr>
      </w:pPr>
    </w:p>
    <w:p w14:paraId="055AF33E" w14:textId="5D670289" w:rsidR="0060733D" w:rsidRPr="00091B33" w:rsidRDefault="00F974C2" w:rsidP="004E71BE">
      <w:pPr>
        <w:ind w:left="284"/>
        <w:jc w:val="both"/>
        <w:rPr>
          <w:rFonts w:ascii="Arial" w:hAnsi="Arial" w:cs="Arial"/>
          <w:lang w:val="pl-PL" w:eastAsia="en-US"/>
        </w:rPr>
      </w:pPr>
      <w:r w:rsidRPr="00091B33">
        <w:rPr>
          <w:rFonts w:ascii="Arial" w:hAnsi="Arial" w:cs="Arial"/>
          <w:lang w:val="pl-PL" w:eastAsia="en-US"/>
        </w:rPr>
        <w:t>Po odredbama ovog Zakona dan je od 06,00 do 22,00 sa</w:t>
      </w:r>
      <w:r w:rsidR="004E71BE" w:rsidRPr="00091B33">
        <w:rPr>
          <w:rFonts w:ascii="Arial" w:hAnsi="Arial" w:cs="Arial"/>
          <w:lang w:val="pl-PL" w:eastAsia="en-US"/>
        </w:rPr>
        <w:t>ti, a noć od 22,00 do 6,00 sati.</w:t>
      </w:r>
    </w:p>
    <w:p w14:paraId="6597C91E" w14:textId="77777777" w:rsidR="003976B3" w:rsidRDefault="003976B3" w:rsidP="00E477F6">
      <w:pPr>
        <w:spacing w:before="100" w:beforeAutospacing="1" w:after="100" w:afterAutospacing="1"/>
        <w:jc w:val="both"/>
        <w:rPr>
          <w:rFonts w:ascii="Arial" w:hAnsi="Arial" w:cs="Arial"/>
          <w:b/>
          <w:lang w:val="en-US" w:eastAsia="en-US"/>
        </w:rPr>
      </w:pPr>
    </w:p>
    <w:p w14:paraId="74906D10" w14:textId="77777777" w:rsidR="003976B3" w:rsidRDefault="003976B3" w:rsidP="00E477F6">
      <w:pPr>
        <w:spacing w:before="100" w:beforeAutospacing="1" w:after="100" w:afterAutospacing="1"/>
        <w:jc w:val="both"/>
        <w:rPr>
          <w:rFonts w:ascii="Arial" w:hAnsi="Arial" w:cs="Arial"/>
          <w:b/>
          <w:lang w:val="en-US" w:eastAsia="en-US"/>
        </w:rPr>
      </w:pPr>
    </w:p>
    <w:p w14:paraId="24603802" w14:textId="77777777" w:rsidR="003976B3" w:rsidRDefault="00F974C2" w:rsidP="00E477F6">
      <w:pPr>
        <w:spacing w:before="100" w:beforeAutospacing="1" w:after="100" w:afterAutospacing="1"/>
        <w:contextualSpacing/>
        <w:jc w:val="both"/>
        <w:rPr>
          <w:rFonts w:ascii="Arial" w:hAnsi="Arial" w:cs="Arial"/>
          <w:b/>
          <w:lang w:val="en-US" w:eastAsia="en-US"/>
        </w:rPr>
      </w:pPr>
      <w:r>
        <w:rPr>
          <w:rFonts w:ascii="Arial" w:hAnsi="Arial" w:cs="Arial"/>
          <w:b/>
          <w:lang w:val="en-US" w:eastAsia="en-US"/>
        </w:rPr>
        <w:t>7. Mjere nakon prestanka aktivnosti, zatvaranja ili rušenja postorjenja</w:t>
      </w:r>
    </w:p>
    <w:p w14:paraId="3C796327" w14:textId="629F1184" w:rsidR="00F974C2" w:rsidRDefault="00F974C2" w:rsidP="00E477F6">
      <w:pPr>
        <w:spacing w:before="100" w:beforeAutospacing="1" w:after="100" w:afterAutospacing="1"/>
        <w:contextualSpacing/>
        <w:jc w:val="both"/>
        <w:rPr>
          <w:rFonts w:ascii="Arial" w:hAnsi="Arial" w:cs="Arial"/>
          <w:lang w:val="en-US" w:eastAsia="en-US"/>
        </w:rPr>
      </w:pPr>
      <w:r w:rsidRPr="00F974C2">
        <w:rPr>
          <w:rFonts w:ascii="Arial" w:hAnsi="Arial" w:cs="Arial"/>
          <w:lang w:val="en-US" w:eastAsia="en-US"/>
        </w:rPr>
        <w:t xml:space="preserve">Nakon prestanka </w:t>
      </w:r>
      <w:r>
        <w:rPr>
          <w:rFonts w:ascii="Arial" w:hAnsi="Arial" w:cs="Arial"/>
          <w:lang w:val="en-US" w:eastAsia="en-US"/>
        </w:rPr>
        <w:t>rada pogona za toplo pocinčavanje metalnih pozicija,</w:t>
      </w:r>
      <w:r w:rsidR="00F110B3">
        <w:rPr>
          <w:rFonts w:ascii="Arial" w:hAnsi="Arial" w:cs="Arial"/>
          <w:lang w:val="en-US" w:eastAsia="en-US"/>
        </w:rPr>
        <w:t xml:space="preserve"> lokaciju je potrebno sanirati i</w:t>
      </w:r>
      <w:r>
        <w:rPr>
          <w:rFonts w:ascii="Arial" w:hAnsi="Arial" w:cs="Arial"/>
          <w:lang w:val="en-US" w:eastAsia="en-US"/>
        </w:rPr>
        <w:t xml:space="preserve"> vratii u prvobitno stanje ili stanje bolje od prvobitnog, te </w:t>
      </w:r>
      <w:r w:rsidR="00F110B3">
        <w:rPr>
          <w:rFonts w:ascii="Arial" w:hAnsi="Arial" w:cs="Arial"/>
          <w:lang w:val="en-US" w:eastAsia="en-US"/>
        </w:rPr>
        <w:t>ukloniti sve objekte, sirovine i</w:t>
      </w:r>
      <w:r>
        <w:rPr>
          <w:rFonts w:ascii="Arial" w:hAnsi="Arial" w:cs="Arial"/>
          <w:lang w:val="en-US" w:eastAsia="en-US"/>
        </w:rPr>
        <w:t xml:space="preserve"> otpadne materijale.</w:t>
      </w:r>
    </w:p>
    <w:p w14:paraId="0B6FE3B3" w14:textId="77777777" w:rsidR="003976B3" w:rsidRPr="003976B3" w:rsidRDefault="003976B3" w:rsidP="00E477F6">
      <w:pPr>
        <w:spacing w:before="100" w:beforeAutospacing="1" w:after="100" w:afterAutospacing="1"/>
        <w:contextualSpacing/>
        <w:jc w:val="both"/>
        <w:rPr>
          <w:rFonts w:ascii="Arial" w:hAnsi="Arial" w:cs="Arial"/>
          <w:b/>
          <w:lang w:val="en-US" w:eastAsia="en-US"/>
        </w:rPr>
      </w:pPr>
    </w:p>
    <w:p w14:paraId="53B6CD6B" w14:textId="38FEA7C0" w:rsidR="00F974C2" w:rsidRDefault="00F974C2" w:rsidP="00E477F6">
      <w:pPr>
        <w:spacing w:before="100" w:beforeAutospacing="1" w:after="100" w:afterAutospacing="1"/>
        <w:jc w:val="both"/>
        <w:rPr>
          <w:rFonts w:ascii="Arial" w:hAnsi="Arial" w:cs="Arial"/>
          <w:lang w:val="en-US" w:eastAsia="en-US"/>
        </w:rPr>
      </w:pPr>
      <w:r>
        <w:rPr>
          <w:rFonts w:ascii="Arial" w:hAnsi="Arial" w:cs="Arial"/>
          <w:lang w:val="en-US" w:eastAsia="en-US"/>
        </w:rPr>
        <w:t xml:space="preserve">Vraćanje u prvobitno stanje podrazumijevat će uklanjanje opreme koja se koristi u tehnološkom procesu, uklanjanje svih vrsta otpada koji nastaje na lokaciji, posebno opasnog otpada, te izvršiti rekultivaciju degradiranog terena. Zakon o zaštiti okoliša nalaže da se prekid rada </w:t>
      </w:r>
      <w:r w:rsidR="000305AA">
        <w:rPr>
          <w:rFonts w:ascii="Arial" w:hAnsi="Arial" w:cs="Arial"/>
          <w:lang w:val="en-US" w:eastAsia="en-US"/>
        </w:rPr>
        <w:t>i</w:t>
      </w:r>
      <w:r>
        <w:rPr>
          <w:rFonts w:ascii="Arial" w:hAnsi="Arial" w:cs="Arial"/>
          <w:lang w:val="en-US" w:eastAsia="en-US"/>
        </w:rPr>
        <w:t xml:space="preserve"> rušenja pogona </w:t>
      </w:r>
      <w:r w:rsidR="000305AA">
        <w:rPr>
          <w:rFonts w:ascii="Arial" w:hAnsi="Arial" w:cs="Arial"/>
          <w:lang w:val="en-US" w:eastAsia="en-US"/>
        </w:rPr>
        <w:t xml:space="preserve">i </w:t>
      </w:r>
      <w:r>
        <w:rPr>
          <w:rFonts w:ascii="Arial" w:hAnsi="Arial" w:cs="Arial"/>
          <w:lang w:val="en-US" w:eastAsia="en-US"/>
        </w:rPr>
        <w:t>postrojenja</w:t>
      </w:r>
      <w:r w:rsidR="000305AA">
        <w:rPr>
          <w:rFonts w:ascii="Arial" w:hAnsi="Arial" w:cs="Arial"/>
          <w:lang w:val="en-US" w:eastAsia="en-US"/>
        </w:rPr>
        <w:t>, kojima je potrebno okolišno dopuštenje koje se izdaje na temelju dokumentacije o procjeni utjecaja na okoliš, obavezno provodi novi postupak procjene utjecaja na okoliš u skaldu sa važećom legislativom.</w:t>
      </w:r>
    </w:p>
    <w:p w14:paraId="03FB54F7" w14:textId="2B39FA84" w:rsidR="000305AA" w:rsidRDefault="000305AA" w:rsidP="00E477F6">
      <w:pPr>
        <w:spacing w:before="100" w:beforeAutospacing="1" w:after="100" w:afterAutospacing="1"/>
        <w:jc w:val="both"/>
        <w:rPr>
          <w:rFonts w:ascii="Arial" w:hAnsi="Arial" w:cs="Arial"/>
          <w:b/>
          <w:lang w:val="en-US" w:eastAsia="en-US"/>
        </w:rPr>
      </w:pPr>
      <w:r w:rsidRPr="000305AA">
        <w:rPr>
          <w:rFonts w:ascii="Arial" w:hAnsi="Arial" w:cs="Arial"/>
          <w:b/>
          <w:lang w:val="en-US" w:eastAsia="en-US"/>
        </w:rPr>
        <w:t>8. Sistem monitoringa</w:t>
      </w:r>
    </w:p>
    <w:p w14:paraId="66D335C6" w14:textId="1D605F19" w:rsidR="006F285D" w:rsidRDefault="006F285D" w:rsidP="006F285D">
      <w:pPr>
        <w:autoSpaceDE w:val="0"/>
        <w:autoSpaceDN w:val="0"/>
        <w:adjustRightInd w:val="0"/>
        <w:rPr>
          <w:rFonts w:ascii="Arial" w:hAnsi="Arial" w:cs="Arial"/>
        </w:rPr>
      </w:pPr>
      <w:r w:rsidRPr="006F285D">
        <w:rPr>
          <w:rFonts w:ascii="Arial" w:hAnsi="Arial" w:cs="Arial"/>
        </w:rPr>
        <w:t>Monitoring</w:t>
      </w:r>
      <w:r>
        <w:rPr>
          <w:rFonts w:ascii="Arial" w:hAnsi="Arial" w:cs="Arial"/>
        </w:rPr>
        <w:t xml:space="preserve"> emisija će se</w:t>
      </w:r>
      <w:r w:rsidRPr="006F285D">
        <w:rPr>
          <w:rFonts w:ascii="Arial" w:hAnsi="Arial" w:cs="Arial"/>
        </w:rPr>
        <w:t xml:space="preserve"> vršiti uskladu sa slijedećom tabelom</w:t>
      </w:r>
    </w:p>
    <w:p w14:paraId="152D0D8A" w14:textId="77777777" w:rsidR="0064571C" w:rsidRPr="006F285D" w:rsidRDefault="0064571C" w:rsidP="006F285D">
      <w:pPr>
        <w:autoSpaceDE w:val="0"/>
        <w:autoSpaceDN w:val="0"/>
        <w:adjustRightInd w:val="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633"/>
        <w:gridCol w:w="2115"/>
        <w:gridCol w:w="2676"/>
      </w:tblGrid>
      <w:tr w:rsidR="006F285D" w:rsidRPr="006F285D" w14:paraId="02ABC0E9" w14:textId="77777777" w:rsidTr="006D6B19">
        <w:trPr>
          <w:trHeight w:val="359"/>
          <w:tblHeader/>
        </w:trPr>
        <w:tc>
          <w:tcPr>
            <w:tcW w:w="495" w:type="pct"/>
            <w:shd w:val="clear" w:color="auto" w:fill="FFFFFF"/>
            <w:vAlign w:val="center"/>
          </w:tcPr>
          <w:p w14:paraId="2F2DDF03"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Medij</w:t>
            </w:r>
          </w:p>
        </w:tc>
        <w:tc>
          <w:tcPr>
            <w:tcW w:w="1943" w:type="pct"/>
            <w:shd w:val="clear" w:color="auto" w:fill="FFFFFF"/>
            <w:vAlign w:val="center"/>
          </w:tcPr>
          <w:p w14:paraId="0DD14C1C"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Parametar praćenja</w:t>
            </w:r>
          </w:p>
        </w:tc>
        <w:tc>
          <w:tcPr>
            <w:tcW w:w="1131" w:type="pct"/>
            <w:shd w:val="clear" w:color="auto" w:fill="FFFFFF"/>
            <w:vAlign w:val="center"/>
          </w:tcPr>
          <w:p w14:paraId="316195BB"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Mjesto praćenja</w:t>
            </w:r>
          </w:p>
        </w:tc>
        <w:tc>
          <w:tcPr>
            <w:tcW w:w="1431" w:type="pct"/>
            <w:shd w:val="clear" w:color="auto" w:fill="FFFFFF"/>
            <w:vAlign w:val="center"/>
          </w:tcPr>
          <w:p w14:paraId="07B9EC52"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Dinamika praćenja</w:t>
            </w:r>
          </w:p>
        </w:tc>
      </w:tr>
      <w:tr w:rsidR="006F285D" w:rsidRPr="006F285D" w14:paraId="39CC0DD9" w14:textId="77777777" w:rsidTr="006D6B19">
        <w:tc>
          <w:tcPr>
            <w:tcW w:w="495" w:type="pct"/>
            <w:vAlign w:val="center"/>
          </w:tcPr>
          <w:p w14:paraId="12146A30"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Voda</w:t>
            </w:r>
          </w:p>
        </w:tc>
        <w:tc>
          <w:tcPr>
            <w:tcW w:w="1943" w:type="pct"/>
          </w:tcPr>
          <w:p w14:paraId="0658D53B" w14:textId="77777777" w:rsidR="008C5EBD" w:rsidRDefault="008C5EBD" w:rsidP="008C5EBD">
            <w:pPr>
              <w:jc w:val="center"/>
              <w:rPr>
                <w:rFonts w:ascii="Arial" w:eastAsia="Calibri" w:hAnsi="Arial" w:cs="Arial"/>
                <w:lang w:val="hr-BA" w:eastAsia="en-US"/>
              </w:rPr>
            </w:pPr>
          </w:p>
          <w:p w14:paraId="343A681E" w14:textId="53D3FB34" w:rsidR="006F285D" w:rsidRPr="006F285D" w:rsidRDefault="008C5EBD" w:rsidP="008C5EBD">
            <w:pPr>
              <w:rPr>
                <w:rFonts w:ascii="Arial" w:eastAsia="Calibri" w:hAnsi="Arial" w:cs="Arial"/>
                <w:lang w:eastAsia="en-US"/>
              </w:rPr>
            </w:pPr>
            <w:r>
              <w:rPr>
                <w:rFonts w:ascii="Arial" w:eastAsia="Calibri" w:hAnsi="Arial" w:cs="Arial"/>
                <w:lang w:val="hr-BA" w:eastAsia="en-US"/>
              </w:rPr>
              <w:t>Prisustvo metala u oborinskim vodama kompleksa i podzemnim vodama.</w:t>
            </w:r>
          </w:p>
        </w:tc>
        <w:tc>
          <w:tcPr>
            <w:tcW w:w="1131" w:type="pct"/>
            <w:vAlign w:val="center"/>
          </w:tcPr>
          <w:p w14:paraId="3FB9059D" w14:textId="6F97654B" w:rsidR="006F285D" w:rsidRPr="006F285D" w:rsidRDefault="008C5EBD" w:rsidP="006F285D">
            <w:pPr>
              <w:jc w:val="center"/>
              <w:rPr>
                <w:rFonts w:ascii="Arial" w:eastAsia="Calibri" w:hAnsi="Arial" w:cs="Arial"/>
                <w:lang w:eastAsia="en-US"/>
              </w:rPr>
            </w:pPr>
            <w:r>
              <w:rPr>
                <w:rFonts w:ascii="Arial" w:eastAsia="Calibri" w:hAnsi="Arial" w:cs="Arial"/>
                <w:lang w:val="hr-BA" w:eastAsia="en-US"/>
              </w:rPr>
              <w:t>Na izlazu iz zacjevljenog potoka u pijezometrima i na ispustima oborinskih voda.</w:t>
            </w:r>
          </w:p>
        </w:tc>
        <w:tc>
          <w:tcPr>
            <w:tcW w:w="1431" w:type="pct"/>
            <w:vAlign w:val="center"/>
          </w:tcPr>
          <w:p w14:paraId="38193326" w14:textId="62EE3E92" w:rsidR="006F285D" w:rsidRPr="006F285D" w:rsidRDefault="008C5EBD" w:rsidP="006F285D">
            <w:pPr>
              <w:widowControl w:val="0"/>
              <w:jc w:val="center"/>
              <w:rPr>
                <w:rFonts w:ascii="Arial" w:eastAsia="Calibri" w:hAnsi="Arial" w:cs="Arial"/>
                <w:lang w:val="en-US" w:eastAsia="en-US"/>
              </w:rPr>
            </w:pPr>
            <w:r>
              <w:rPr>
                <w:rFonts w:ascii="Arial" w:eastAsia="Calibri" w:hAnsi="Arial" w:cs="Arial"/>
                <w:lang w:val="hr-BA" w:eastAsia="en-US"/>
              </w:rPr>
              <w:t xml:space="preserve">U skladu sa članom 20. Uredbe o uslovima ispuštanja otpadnih voda u okoliš i sistem javne kanalizacije. </w:t>
            </w:r>
            <w:r w:rsidRPr="006F285D">
              <w:rPr>
                <w:rFonts w:ascii="Arial" w:hAnsi="Arial" w:cs="Arial"/>
                <w:lang w:val="en-US" w:eastAsia="en-US"/>
              </w:rPr>
              <w:t xml:space="preserve"> </w:t>
            </w:r>
          </w:p>
        </w:tc>
      </w:tr>
      <w:tr w:rsidR="006F285D" w:rsidRPr="006F285D" w14:paraId="348FA9BF" w14:textId="77777777" w:rsidTr="006D6B19">
        <w:tc>
          <w:tcPr>
            <w:tcW w:w="495" w:type="pct"/>
            <w:vAlign w:val="center"/>
          </w:tcPr>
          <w:p w14:paraId="643C1DE3"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Buka</w:t>
            </w:r>
          </w:p>
        </w:tc>
        <w:tc>
          <w:tcPr>
            <w:tcW w:w="1943" w:type="pct"/>
          </w:tcPr>
          <w:p w14:paraId="7153886B" w14:textId="77777777" w:rsidR="006F285D" w:rsidRPr="006F285D" w:rsidRDefault="006F285D" w:rsidP="006F285D">
            <w:pPr>
              <w:rPr>
                <w:rFonts w:eastAsia="Calibri" w:cs="Arial"/>
              </w:rPr>
            </w:pPr>
            <w:r w:rsidRPr="006F285D">
              <w:rPr>
                <w:rFonts w:ascii="Arial" w:eastAsia="Calibri" w:hAnsi="Arial" w:cs="Arial"/>
                <w:bCs/>
                <w:lang w:eastAsia="en-US"/>
              </w:rPr>
              <w:t>Ekvivalentni nivo buke</w:t>
            </w:r>
          </w:p>
        </w:tc>
        <w:tc>
          <w:tcPr>
            <w:tcW w:w="1131" w:type="pct"/>
            <w:vAlign w:val="center"/>
          </w:tcPr>
          <w:p w14:paraId="2CA573D9" w14:textId="6E3A7E99" w:rsidR="006F285D" w:rsidRPr="006F285D" w:rsidRDefault="00120742" w:rsidP="006F285D">
            <w:pPr>
              <w:rPr>
                <w:rFonts w:ascii="Arial" w:eastAsia="Calibri" w:hAnsi="Arial" w:cs="Arial"/>
                <w:lang w:eastAsia="en-US"/>
              </w:rPr>
            </w:pPr>
            <w:r>
              <w:rPr>
                <w:rFonts w:ascii="Arial" w:eastAsia="Calibri" w:hAnsi="Arial" w:cs="Arial"/>
                <w:lang w:eastAsia="en-US"/>
              </w:rPr>
              <w:t>Kod najbližih stamebnih objekata u krugu pogona „IBRA“</w:t>
            </w:r>
          </w:p>
        </w:tc>
        <w:tc>
          <w:tcPr>
            <w:tcW w:w="1431" w:type="pct"/>
            <w:vAlign w:val="center"/>
          </w:tcPr>
          <w:p w14:paraId="625A12CA" w14:textId="5FCC52D6" w:rsidR="006F285D" w:rsidRPr="006F285D" w:rsidRDefault="006F285D" w:rsidP="008C5EBD">
            <w:pPr>
              <w:widowControl w:val="0"/>
              <w:jc w:val="center"/>
              <w:rPr>
                <w:rFonts w:ascii="Arial" w:eastAsia="Calibri" w:hAnsi="Arial" w:cs="Arial"/>
                <w:iCs/>
                <w:highlight w:val="yellow"/>
                <w:lang w:val="en-US" w:eastAsia="en-US"/>
              </w:rPr>
            </w:pPr>
            <w:r w:rsidRPr="006F285D">
              <w:rPr>
                <w:rFonts w:ascii="Arial" w:eastAsia="Calibri" w:hAnsi="Arial" w:cs="Arial"/>
                <w:iCs/>
                <w:lang w:val="en-US" w:eastAsia="en-US"/>
              </w:rPr>
              <w:t xml:space="preserve">Jednom u tri  godine, </w:t>
            </w:r>
            <w:r w:rsidR="008C5EBD">
              <w:rPr>
                <w:rFonts w:ascii="Arial" w:eastAsia="Calibri" w:hAnsi="Arial" w:cs="Arial"/>
                <w:iCs/>
                <w:lang w:val="en-US" w:eastAsia="en-US"/>
              </w:rPr>
              <w:t>prema standard BAS ISO 1996-2:2020</w:t>
            </w:r>
          </w:p>
        </w:tc>
      </w:tr>
      <w:tr w:rsidR="006F285D" w:rsidRPr="006F285D" w14:paraId="198791DC" w14:textId="77777777" w:rsidTr="006D6B19">
        <w:trPr>
          <w:trHeight w:val="767"/>
        </w:trPr>
        <w:tc>
          <w:tcPr>
            <w:tcW w:w="495" w:type="pct"/>
            <w:vAlign w:val="center"/>
          </w:tcPr>
          <w:p w14:paraId="066FE07A"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Otpad</w:t>
            </w:r>
          </w:p>
        </w:tc>
        <w:tc>
          <w:tcPr>
            <w:tcW w:w="1943" w:type="pct"/>
          </w:tcPr>
          <w:p w14:paraId="0D0364DE" w14:textId="77777777" w:rsidR="006F285D" w:rsidRPr="006F285D" w:rsidRDefault="006F285D" w:rsidP="006F285D">
            <w:pPr>
              <w:tabs>
                <w:tab w:val="num" w:pos="720"/>
              </w:tabs>
              <w:rPr>
                <w:rFonts w:ascii="Arial" w:eastAsia="Calibri" w:hAnsi="Arial" w:cs="Arial"/>
                <w:lang w:val="hr-BA" w:eastAsia="en-US"/>
              </w:rPr>
            </w:pPr>
            <w:r w:rsidRPr="006F285D">
              <w:rPr>
                <w:rFonts w:ascii="Arial" w:eastAsia="Calibri" w:hAnsi="Arial" w:cs="Arial"/>
                <w:lang w:val="hr-BA" w:eastAsia="en-US"/>
              </w:rPr>
              <w:t>Vrsta otpada</w:t>
            </w:r>
          </w:p>
          <w:p w14:paraId="56414322" w14:textId="77777777" w:rsidR="006F285D" w:rsidRPr="006F285D" w:rsidRDefault="006F285D" w:rsidP="006F285D">
            <w:pPr>
              <w:tabs>
                <w:tab w:val="num" w:pos="720"/>
              </w:tabs>
              <w:rPr>
                <w:rFonts w:eastAsia="Calibri" w:cs="Arial"/>
              </w:rPr>
            </w:pPr>
            <w:r w:rsidRPr="006F285D">
              <w:rPr>
                <w:rFonts w:ascii="Arial" w:eastAsia="Calibri" w:hAnsi="Arial" w:cs="Arial"/>
                <w:lang w:val="hr-BA" w:eastAsia="en-US"/>
              </w:rPr>
              <w:t>Količina otpada</w:t>
            </w:r>
          </w:p>
        </w:tc>
        <w:tc>
          <w:tcPr>
            <w:tcW w:w="1131" w:type="pct"/>
            <w:vAlign w:val="center"/>
          </w:tcPr>
          <w:p w14:paraId="20B948D1" w14:textId="77777777" w:rsidR="006F285D" w:rsidRPr="006F285D" w:rsidRDefault="006F285D" w:rsidP="006F285D">
            <w:pPr>
              <w:rPr>
                <w:rFonts w:ascii="Arial" w:eastAsia="Calibri" w:hAnsi="Arial" w:cs="Arial"/>
                <w:lang w:eastAsia="en-US"/>
              </w:rPr>
            </w:pPr>
            <w:r w:rsidRPr="006F285D">
              <w:rPr>
                <w:rFonts w:ascii="Arial" w:eastAsia="Calibri" w:hAnsi="Arial" w:cs="Arial"/>
                <w:lang w:eastAsia="en-US"/>
              </w:rPr>
              <w:t>Sva mjesta</w:t>
            </w:r>
          </w:p>
          <w:p w14:paraId="7F2B4F1E" w14:textId="77777777" w:rsidR="006F285D" w:rsidRPr="006F285D" w:rsidRDefault="006F285D" w:rsidP="006F285D">
            <w:pPr>
              <w:rPr>
                <w:rFonts w:ascii="Arial" w:eastAsia="Calibri" w:hAnsi="Arial" w:cs="Arial"/>
                <w:lang w:eastAsia="en-US"/>
              </w:rPr>
            </w:pPr>
            <w:r w:rsidRPr="006F285D">
              <w:rPr>
                <w:rFonts w:ascii="Arial" w:eastAsia="Calibri" w:hAnsi="Arial" w:cs="Arial"/>
                <w:lang w:eastAsia="en-US"/>
              </w:rPr>
              <w:t>nastanka otpada</w:t>
            </w:r>
          </w:p>
        </w:tc>
        <w:tc>
          <w:tcPr>
            <w:tcW w:w="1431" w:type="pct"/>
            <w:vAlign w:val="center"/>
          </w:tcPr>
          <w:p w14:paraId="3B871FE5"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U skladu sa Planom upravljanja otpadom</w:t>
            </w:r>
          </w:p>
          <w:p w14:paraId="49DF608B" w14:textId="77777777" w:rsidR="006F285D" w:rsidRPr="006F285D" w:rsidRDefault="006F285D" w:rsidP="006F285D">
            <w:pPr>
              <w:rPr>
                <w:rFonts w:ascii="Arial" w:eastAsia="Calibri" w:hAnsi="Arial" w:cs="Arial"/>
                <w:lang w:eastAsia="en-US"/>
              </w:rPr>
            </w:pPr>
          </w:p>
        </w:tc>
      </w:tr>
      <w:tr w:rsidR="006F285D" w:rsidRPr="006F285D" w14:paraId="6D55675F" w14:textId="77777777" w:rsidTr="006D6B19">
        <w:trPr>
          <w:trHeight w:val="420"/>
        </w:trPr>
        <w:tc>
          <w:tcPr>
            <w:tcW w:w="495" w:type="pct"/>
            <w:vAlign w:val="center"/>
          </w:tcPr>
          <w:p w14:paraId="00F364D7" w14:textId="77777777" w:rsidR="006F285D" w:rsidRPr="006F285D" w:rsidRDefault="006F285D" w:rsidP="006F285D">
            <w:pPr>
              <w:jc w:val="center"/>
              <w:rPr>
                <w:rFonts w:ascii="Arial" w:eastAsia="Calibri" w:hAnsi="Arial" w:cs="Arial"/>
                <w:lang w:eastAsia="en-US"/>
              </w:rPr>
            </w:pPr>
            <w:r w:rsidRPr="006F285D">
              <w:rPr>
                <w:rFonts w:ascii="Arial" w:eastAsia="Calibri" w:hAnsi="Arial" w:cs="Arial"/>
                <w:lang w:eastAsia="en-US"/>
              </w:rPr>
              <w:t>Zrak</w:t>
            </w:r>
          </w:p>
        </w:tc>
        <w:tc>
          <w:tcPr>
            <w:tcW w:w="1943" w:type="pct"/>
          </w:tcPr>
          <w:p w14:paraId="14703D43" w14:textId="77777777" w:rsidR="006F285D" w:rsidRPr="006F285D" w:rsidRDefault="006F285D" w:rsidP="006F285D">
            <w:pPr>
              <w:rPr>
                <w:rFonts w:ascii="Arial" w:hAnsi="Arial" w:cs="Arial"/>
              </w:rPr>
            </w:pPr>
            <w:r w:rsidRPr="006F285D">
              <w:rPr>
                <w:rFonts w:ascii="Arial" w:hAnsi="Arial" w:cs="Arial"/>
              </w:rPr>
              <w:t>Emisija u zrak nastaje prilikom emisije aerosola i para iz kada</w:t>
            </w:r>
          </w:p>
        </w:tc>
        <w:tc>
          <w:tcPr>
            <w:tcW w:w="1131" w:type="pct"/>
            <w:vAlign w:val="center"/>
          </w:tcPr>
          <w:p w14:paraId="30EAECD0" w14:textId="1E3ECF8D" w:rsidR="006F285D" w:rsidRPr="006F285D" w:rsidRDefault="008C5EBD" w:rsidP="006F285D">
            <w:pPr>
              <w:rPr>
                <w:rFonts w:ascii="Arial" w:eastAsia="Calibri" w:hAnsi="Arial" w:cs="Arial"/>
                <w:lang w:eastAsia="en-US"/>
              </w:rPr>
            </w:pPr>
            <w:r>
              <w:rPr>
                <w:rFonts w:ascii="Arial" w:eastAsia="Calibri" w:hAnsi="Arial" w:cs="Arial"/>
                <w:lang w:eastAsia="en-US"/>
              </w:rPr>
              <w:t xml:space="preserve">Ventilacioni otvor </w:t>
            </w:r>
          </w:p>
        </w:tc>
        <w:tc>
          <w:tcPr>
            <w:tcW w:w="1431" w:type="pct"/>
            <w:vAlign w:val="center"/>
          </w:tcPr>
          <w:p w14:paraId="3F8BB2C1" w14:textId="7DFB10EF" w:rsidR="006F285D" w:rsidRPr="006F285D" w:rsidRDefault="008C5EBD" w:rsidP="006F285D">
            <w:pPr>
              <w:jc w:val="center"/>
              <w:rPr>
                <w:rFonts w:ascii="Arial" w:eastAsia="Calibri" w:hAnsi="Arial" w:cs="Arial"/>
                <w:lang w:eastAsia="en-US"/>
              </w:rPr>
            </w:pPr>
            <w:r>
              <w:rPr>
                <w:rFonts w:ascii="Arial" w:eastAsia="Calibri" w:hAnsi="Arial" w:cs="Arial"/>
                <w:lang w:eastAsia="en-US"/>
              </w:rPr>
              <w:t>Jedanput u toku godine prema akreditovanoj metodi ispitne laboratorije</w:t>
            </w:r>
          </w:p>
        </w:tc>
      </w:tr>
    </w:tbl>
    <w:p w14:paraId="4141FEED" w14:textId="6DD021C7" w:rsidR="003976B3" w:rsidRDefault="003976B3" w:rsidP="00E477F6">
      <w:pPr>
        <w:spacing w:before="100" w:beforeAutospacing="1" w:after="100" w:afterAutospacing="1"/>
        <w:jc w:val="both"/>
        <w:rPr>
          <w:rFonts w:ascii="Arial" w:hAnsi="Arial" w:cs="Arial"/>
          <w:b/>
          <w:lang w:val="en-US" w:eastAsia="en-US"/>
        </w:rPr>
      </w:pPr>
    </w:p>
    <w:p w14:paraId="250E28A5" w14:textId="79976D1E" w:rsidR="000305AA" w:rsidRDefault="00B319A5" w:rsidP="00E477F6">
      <w:pPr>
        <w:spacing w:before="100" w:beforeAutospacing="1" w:after="100" w:afterAutospacing="1"/>
        <w:jc w:val="both"/>
        <w:rPr>
          <w:rFonts w:ascii="Arial" w:hAnsi="Arial" w:cs="Arial"/>
          <w:b/>
          <w:lang w:val="en-US" w:eastAsia="en-US"/>
        </w:rPr>
      </w:pPr>
      <w:r w:rsidRPr="00B319A5">
        <w:rPr>
          <w:rFonts w:ascii="Arial" w:hAnsi="Arial" w:cs="Arial"/>
          <w:b/>
          <w:lang w:val="en-US" w:eastAsia="en-US"/>
        </w:rPr>
        <w:t xml:space="preserve">9. Izvještavanje </w:t>
      </w:r>
    </w:p>
    <w:p w14:paraId="65240D45" w14:textId="322C9559" w:rsidR="0064571C" w:rsidRDefault="00BB63AB" w:rsidP="0064571C">
      <w:pPr>
        <w:autoSpaceDE w:val="0"/>
        <w:autoSpaceDN w:val="0"/>
        <w:adjustRightInd w:val="0"/>
        <w:jc w:val="both"/>
        <w:rPr>
          <w:rFonts w:ascii="Arial" w:hAnsi="Arial" w:cs="Arial"/>
          <w:bCs/>
        </w:rPr>
      </w:pPr>
      <w:r>
        <w:rPr>
          <w:rFonts w:ascii="Arial" w:hAnsi="Arial" w:cs="Arial"/>
          <w:bCs/>
        </w:rPr>
        <w:t xml:space="preserve">Operater je obavezan podatke o provedenim mjerenjima emisija dostavljati Federalnom </w:t>
      </w:r>
      <w:r w:rsidR="00121446">
        <w:rPr>
          <w:rFonts w:ascii="Arial" w:hAnsi="Arial" w:cs="Arial"/>
          <w:bCs/>
        </w:rPr>
        <w:t>ministarstvu okoliša i turizma nanačin kako je to propisano Pravilnikom o registru zagađivača i zagađenjima okoliša („Službene novine Federacije BiH“, broj 11/23) i članom 10., gdje je naznačen rok za dostavu dostavu izvještaja 30.03. tekuće godine za prethodnu godinu</w:t>
      </w:r>
      <w:r w:rsidR="00D35BB3">
        <w:rPr>
          <w:rFonts w:ascii="Arial" w:hAnsi="Arial" w:cs="Arial"/>
          <w:bCs/>
        </w:rPr>
        <w:t xml:space="preserve"> izvještavanja. Prema Uredbi o I</w:t>
      </w:r>
      <w:r w:rsidR="00121446">
        <w:rPr>
          <w:rFonts w:ascii="Arial" w:hAnsi="Arial" w:cs="Arial"/>
          <w:bCs/>
        </w:rPr>
        <w:t xml:space="preserve">nformacionom sistemu upravljanja otpadom („Službene novine Federacije BiH“, broj: 97/18) obaveza operatera je da dostavljaju podatke/unose ih elektronski u Informacioni sistem otpada koji uspostavlja Fond za zaštitu okoliša Federacije BiH., link: </w:t>
      </w:r>
      <w:r w:rsidR="00121446" w:rsidRPr="00121446">
        <w:rPr>
          <w:rFonts w:ascii="Arial" w:hAnsi="Arial" w:cs="Arial"/>
          <w:bCs/>
        </w:rPr>
        <w:t>https://fzofbih.org.ba/informacioni-sistem-upravljanja-otpadom-fbih/</w:t>
      </w:r>
      <w:r w:rsidR="00121446">
        <w:rPr>
          <w:rFonts w:ascii="Arial" w:hAnsi="Arial" w:cs="Arial"/>
          <w:bCs/>
        </w:rPr>
        <w:t>.</w:t>
      </w:r>
    </w:p>
    <w:p w14:paraId="208319D9" w14:textId="6083600A" w:rsidR="0064571C" w:rsidRDefault="0064571C" w:rsidP="0064571C">
      <w:pPr>
        <w:autoSpaceDE w:val="0"/>
        <w:autoSpaceDN w:val="0"/>
        <w:adjustRightInd w:val="0"/>
        <w:jc w:val="both"/>
        <w:rPr>
          <w:rFonts w:ascii="Arial" w:hAnsi="Arial" w:cs="Arial"/>
          <w:bCs/>
        </w:rPr>
      </w:pPr>
    </w:p>
    <w:p w14:paraId="2B08410B" w14:textId="33EBBB7A" w:rsidR="0064571C" w:rsidRPr="0064571C" w:rsidRDefault="0064571C" w:rsidP="0064571C">
      <w:pPr>
        <w:autoSpaceDE w:val="0"/>
        <w:autoSpaceDN w:val="0"/>
        <w:adjustRightInd w:val="0"/>
        <w:jc w:val="both"/>
        <w:rPr>
          <w:rFonts w:ascii="Arial" w:hAnsi="Arial" w:cs="Arial"/>
          <w:b/>
          <w:bCs/>
        </w:rPr>
      </w:pPr>
      <w:r w:rsidRPr="0064571C">
        <w:rPr>
          <w:rFonts w:ascii="Arial" w:hAnsi="Arial" w:cs="Arial"/>
          <w:b/>
          <w:bCs/>
        </w:rPr>
        <w:t>10. Period važenja okolinske dozvole</w:t>
      </w:r>
    </w:p>
    <w:p w14:paraId="18672270" w14:textId="18955992" w:rsidR="0064571C" w:rsidRDefault="0064571C" w:rsidP="0064571C">
      <w:pPr>
        <w:autoSpaceDE w:val="0"/>
        <w:autoSpaceDN w:val="0"/>
        <w:adjustRightInd w:val="0"/>
        <w:jc w:val="both"/>
        <w:rPr>
          <w:rFonts w:ascii="Arial" w:hAnsi="Arial" w:cs="Arial"/>
          <w:bCs/>
        </w:rPr>
      </w:pPr>
      <w:r>
        <w:rPr>
          <w:rFonts w:ascii="Arial" w:hAnsi="Arial" w:cs="Arial"/>
          <w:bCs/>
        </w:rPr>
        <w:t>Okolinska dozvola se daje na period od 5 (pet) godina, od dana uručenja rješenja.</w:t>
      </w:r>
    </w:p>
    <w:p w14:paraId="6CB6F671" w14:textId="71FEB31B" w:rsidR="00121446" w:rsidRDefault="00121446" w:rsidP="0064571C">
      <w:pPr>
        <w:autoSpaceDE w:val="0"/>
        <w:autoSpaceDN w:val="0"/>
        <w:adjustRightInd w:val="0"/>
        <w:jc w:val="both"/>
        <w:rPr>
          <w:rFonts w:ascii="Arial" w:hAnsi="Arial" w:cs="Arial"/>
          <w:bCs/>
        </w:rPr>
      </w:pPr>
    </w:p>
    <w:p w14:paraId="5329F9AF" w14:textId="11E2DC0B" w:rsidR="00121446" w:rsidRDefault="00121446" w:rsidP="0064571C">
      <w:pPr>
        <w:autoSpaceDE w:val="0"/>
        <w:autoSpaceDN w:val="0"/>
        <w:adjustRightInd w:val="0"/>
        <w:jc w:val="both"/>
        <w:rPr>
          <w:rFonts w:ascii="Arial" w:hAnsi="Arial" w:cs="Arial"/>
          <w:b/>
          <w:bCs/>
        </w:rPr>
      </w:pPr>
      <w:r w:rsidRPr="00121446">
        <w:rPr>
          <w:rFonts w:ascii="Arial" w:hAnsi="Arial" w:cs="Arial"/>
          <w:b/>
          <w:bCs/>
        </w:rPr>
        <w:t>11. Upis u registar izdatih okolišnih dozvola</w:t>
      </w:r>
    </w:p>
    <w:p w14:paraId="023E5693" w14:textId="54A77011" w:rsidR="00121446" w:rsidRPr="00121446" w:rsidRDefault="00121446" w:rsidP="0064571C">
      <w:pPr>
        <w:autoSpaceDE w:val="0"/>
        <w:autoSpaceDN w:val="0"/>
        <w:adjustRightInd w:val="0"/>
        <w:jc w:val="both"/>
        <w:rPr>
          <w:rFonts w:ascii="Arial" w:hAnsi="Arial" w:cs="Arial"/>
          <w:bCs/>
        </w:rPr>
      </w:pPr>
      <w:r w:rsidRPr="00121446">
        <w:rPr>
          <w:rFonts w:ascii="Arial" w:hAnsi="Arial" w:cs="Arial"/>
          <w:bCs/>
        </w:rPr>
        <w:t>Ovo rješ</w:t>
      </w:r>
      <w:r>
        <w:rPr>
          <w:rFonts w:ascii="Arial" w:hAnsi="Arial" w:cs="Arial"/>
          <w:bCs/>
        </w:rPr>
        <w:t>enje se upisuje u registar izdatih okolišnih dozvola u skladu sa propisom iz člana 101. stav (3) Zakona o zaštiti okoliša ( „Službene novine Federacije BiH“, broj 15/21) i člana 8. Uredbe kojom se utvrđuju pogoni i postrojenja koja moraju imati okolišnu dozvolu („Službene novine Federacije BiH“, broj: 51/21, 74/22), i u sklad</w:t>
      </w:r>
      <w:r w:rsidR="00F110B3">
        <w:rPr>
          <w:rFonts w:ascii="Arial" w:hAnsi="Arial" w:cs="Arial"/>
          <w:bCs/>
        </w:rPr>
        <w:t>u</w:t>
      </w:r>
      <w:r>
        <w:rPr>
          <w:rFonts w:ascii="Arial" w:hAnsi="Arial" w:cs="Arial"/>
          <w:bCs/>
        </w:rPr>
        <w:t xml:space="preserve"> sa Pravilnikom o </w:t>
      </w:r>
      <w:r w:rsidR="00F110B3">
        <w:rPr>
          <w:rFonts w:ascii="Arial" w:hAnsi="Arial" w:cs="Arial"/>
          <w:bCs/>
        </w:rPr>
        <w:t>r</w:t>
      </w:r>
      <w:r>
        <w:rPr>
          <w:rFonts w:ascii="Arial" w:hAnsi="Arial" w:cs="Arial"/>
          <w:bCs/>
        </w:rPr>
        <w:t>egistru izdatih okolišnih doozvola („Službene novine Federacije BiH“, broj:41/23).</w:t>
      </w:r>
    </w:p>
    <w:p w14:paraId="4944E1E4" w14:textId="5937DF45" w:rsidR="00121446" w:rsidRDefault="00121446" w:rsidP="0064571C">
      <w:pPr>
        <w:autoSpaceDE w:val="0"/>
        <w:autoSpaceDN w:val="0"/>
        <w:adjustRightInd w:val="0"/>
        <w:jc w:val="both"/>
        <w:rPr>
          <w:rFonts w:ascii="Arial" w:hAnsi="Arial" w:cs="Arial"/>
          <w:bCs/>
        </w:rPr>
      </w:pPr>
    </w:p>
    <w:p w14:paraId="4F7D4E21" w14:textId="77777777" w:rsidR="00121446" w:rsidRDefault="00121446" w:rsidP="0064571C">
      <w:pPr>
        <w:autoSpaceDE w:val="0"/>
        <w:autoSpaceDN w:val="0"/>
        <w:adjustRightInd w:val="0"/>
        <w:jc w:val="both"/>
        <w:rPr>
          <w:rFonts w:ascii="Arial" w:hAnsi="Arial" w:cs="Arial"/>
          <w:bCs/>
        </w:rPr>
      </w:pPr>
    </w:p>
    <w:p w14:paraId="726164AE" w14:textId="77777777" w:rsidR="0064571C" w:rsidRDefault="0064571C" w:rsidP="0064571C">
      <w:pPr>
        <w:autoSpaceDE w:val="0"/>
        <w:autoSpaceDN w:val="0"/>
        <w:adjustRightInd w:val="0"/>
        <w:jc w:val="both"/>
        <w:rPr>
          <w:rFonts w:ascii="Arial" w:hAnsi="Arial" w:cs="Arial"/>
          <w:bCs/>
        </w:rPr>
      </w:pPr>
    </w:p>
    <w:p w14:paraId="45D3403F" w14:textId="545496CA" w:rsidR="0064571C" w:rsidRDefault="0064571C" w:rsidP="0064571C">
      <w:pPr>
        <w:autoSpaceDE w:val="0"/>
        <w:autoSpaceDN w:val="0"/>
        <w:adjustRightInd w:val="0"/>
        <w:jc w:val="both"/>
        <w:rPr>
          <w:rFonts w:ascii="Arial" w:hAnsi="Arial" w:cs="Arial"/>
          <w:bCs/>
        </w:rPr>
      </w:pPr>
    </w:p>
    <w:p w14:paraId="4C299E6C" w14:textId="5AA72529" w:rsidR="0064571C" w:rsidRPr="0064571C" w:rsidRDefault="0064571C" w:rsidP="0064571C">
      <w:pPr>
        <w:autoSpaceDE w:val="0"/>
        <w:autoSpaceDN w:val="0"/>
        <w:adjustRightInd w:val="0"/>
        <w:jc w:val="center"/>
        <w:rPr>
          <w:rFonts w:ascii="Arial" w:hAnsi="Arial" w:cs="Arial"/>
          <w:b/>
          <w:bCs/>
        </w:rPr>
      </w:pPr>
      <w:r w:rsidRPr="0064571C">
        <w:rPr>
          <w:rFonts w:ascii="Arial" w:hAnsi="Arial" w:cs="Arial"/>
          <w:b/>
          <w:bCs/>
        </w:rPr>
        <w:t>Obrazloženje</w:t>
      </w:r>
    </w:p>
    <w:p w14:paraId="2C46F649" w14:textId="36830C46" w:rsidR="00B319A5" w:rsidRDefault="008937C0" w:rsidP="00E477F6">
      <w:pPr>
        <w:spacing w:before="100" w:beforeAutospacing="1" w:after="100" w:afterAutospacing="1"/>
        <w:jc w:val="both"/>
        <w:rPr>
          <w:rFonts w:ascii="Arial" w:hAnsi="Arial" w:cs="Arial"/>
          <w:lang w:val="en-US" w:eastAsia="en-US"/>
        </w:rPr>
      </w:pPr>
      <w:r>
        <w:rPr>
          <w:rFonts w:ascii="Arial" w:hAnsi="Arial" w:cs="Arial"/>
          <w:lang w:val="en-US" w:eastAsia="en-US"/>
        </w:rPr>
        <w:t>Operater “IBRA” d.o.o. Tuzla podnio je 17.03.2025. godine zahtjev za obnovu okolinske dozvole za pogon za toplo pocinčavanje metalnih pozicija – cinkaone</w:t>
      </w:r>
      <w:r w:rsidR="00157BB0" w:rsidRPr="00157BB0">
        <w:rPr>
          <w:rFonts w:ascii="Arial" w:hAnsi="Arial" w:cs="Arial"/>
          <w:lang w:val="en-US" w:eastAsia="en-US"/>
        </w:rPr>
        <w:t xml:space="preserve"> </w:t>
      </w:r>
      <w:r w:rsidR="00157BB0">
        <w:rPr>
          <w:rFonts w:ascii="Arial" w:hAnsi="Arial" w:cs="Arial"/>
          <w:lang w:val="en-US" w:eastAsia="en-US"/>
        </w:rPr>
        <w:t xml:space="preserve"> koji  se nalazi u naselju Miladije, na parceli označenoj kao k..č. 2624/6, 2625/5, 2624/5, 2625/2, 2624/4, 2624/8 i 2624/9.</w:t>
      </w:r>
      <w:r w:rsidR="00F110B3">
        <w:rPr>
          <w:rFonts w:ascii="Arial" w:hAnsi="Arial" w:cs="Arial"/>
          <w:lang w:val="en-US" w:eastAsia="en-US"/>
        </w:rPr>
        <w:t xml:space="preserve"> </w:t>
      </w:r>
      <w:r>
        <w:rPr>
          <w:rFonts w:ascii="Arial" w:hAnsi="Arial" w:cs="Arial"/>
          <w:lang w:val="en-US" w:eastAsia="en-US"/>
        </w:rPr>
        <w:t>Uz zahtjev za izdavanje rješenja  o obnovljenoj  okolinskoj dozvoli operater je dostavio i sljedeću dokumentaciju:</w:t>
      </w:r>
    </w:p>
    <w:p w14:paraId="583EE67C" w14:textId="7F072C68" w:rsidR="008937C0" w:rsidRDefault="008937C0"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 Izvod iz planskog akta odnosno područja izdato od strane Službe za prostorno uređenje i zaštitu okoline, grad Tuzla broj: 06/18-19-03039/2025,</w:t>
      </w:r>
    </w:p>
    <w:p w14:paraId="513F9A13" w14:textId="6994A8B9" w:rsidR="008937C0" w:rsidRDefault="008937C0"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2. Rješenje o vodnoj dozvoli izdato od </w:t>
      </w:r>
      <w:r w:rsidR="00A952BB">
        <w:rPr>
          <w:rFonts w:ascii="Arial" w:hAnsi="Arial" w:cs="Arial"/>
          <w:lang w:val="en-US" w:eastAsia="en-US"/>
        </w:rPr>
        <w:t>agencije za vodno područje rijeke Save, broj: UP-1/21-3-40-401-4/24 od 30.09.2024.,</w:t>
      </w:r>
    </w:p>
    <w:p w14:paraId="0719B546" w14:textId="6ED729DE" w:rsidR="00A952BB" w:rsidRDefault="00A952BB"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3. Rješenje o vodnoj dozvoli izdato od Ministarstva poljoprivrede, šumarstva i vodoprivrede</w:t>
      </w:r>
      <w:r w:rsidR="003976B3">
        <w:rPr>
          <w:rFonts w:ascii="Arial" w:hAnsi="Arial" w:cs="Arial"/>
          <w:lang w:val="en-US" w:eastAsia="en-US"/>
        </w:rPr>
        <w:t xml:space="preserve"> </w:t>
      </w:r>
      <w:r>
        <w:rPr>
          <w:rFonts w:ascii="Arial" w:hAnsi="Arial" w:cs="Arial"/>
          <w:lang w:val="en-US" w:eastAsia="en-US"/>
        </w:rPr>
        <w:t>Tuzlanskog kantona, broj: 04/1-13-21-1964/25,</w:t>
      </w:r>
    </w:p>
    <w:p w14:paraId="144A5561" w14:textId="3FFA1C7C" w:rsidR="00A952BB" w:rsidRDefault="00A952BB"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4. Rješenje o okolinskoj dozvoli broj: UPI-05/2-23-11-187/19 od 15.01.2020. godine izdato od Federalnog ministarstva okoliša i turizma,</w:t>
      </w:r>
    </w:p>
    <w:p w14:paraId="79238E85" w14:textId="68840F83" w:rsidR="00A952BB" w:rsidRDefault="00A952BB"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5. Netehnički rezime,</w:t>
      </w:r>
    </w:p>
    <w:p w14:paraId="2D5415FE" w14:textId="76BD00AB" w:rsidR="00A952BB" w:rsidRDefault="00A952BB"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6. Plan upravljanja otpadom, </w:t>
      </w:r>
    </w:p>
    <w:p w14:paraId="55784BD6" w14:textId="25A2EE00" w:rsidR="007864D3" w:rsidRDefault="00A952BB"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7. Po</w:t>
      </w:r>
      <w:r w:rsidR="007864D3">
        <w:rPr>
          <w:rFonts w:ascii="Arial" w:hAnsi="Arial" w:cs="Arial"/>
          <w:lang w:val="en-US" w:eastAsia="en-US"/>
        </w:rPr>
        <w:t>sjedovni list i</w:t>
      </w:r>
      <w:r>
        <w:rPr>
          <w:rFonts w:ascii="Arial" w:hAnsi="Arial" w:cs="Arial"/>
          <w:lang w:val="en-US" w:eastAsia="en-US"/>
        </w:rPr>
        <w:t xml:space="preserve">zdat od strane Službe za geodetske </w:t>
      </w:r>
      <w:r w:rsidR="007864D3">
        <w:rPr>
          <w:rFonts w:ascii="Arial" w:hAnsi="Arial" w:cs="Arial"/>
          <w:lang w:val="en-US" w:eastAsia="en-US"/>
        </w:rPr>
        <w:t>i</w:t>
      </w:r>
      <w:r>
        <w:rPr>
          <w:rFonts w:ascii="Arial" w:hAnsi="Arial" w:cs="Arial"/>
          <w:lang w:val="en-US" w:eastAsia="en-US"/>
        </w:rPr>
        <w:t xml:space="preserve"> imovinsko-pravne poslove </w:t>
      </w:r>
      <w:r w:rsidR="007864D3">
        <w:rPr>
          <w:rFonts w:ascii="Arial" w:hAnsi="Arial" w:cs="Arial"/>
          <w:lang w:val="en-US" w:eastAsia="en-US"/>
        </w:rPr>
        <w:t>, broj: 07-27-1062/25-4,</w:t>
      </w:r>
    </w:p>
    <w:p w14:paraId="05965679" w14:textId="7386D5E9" w:rsidR="007864D3" w:rsidRDefault="003976B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8. Kopija katastarskog plana i</w:t>
      </w:r>
      <w:r w:rsidR="007864D3">
        <w:rPr>
          <w:rFonts w:ascii="Arial" w:hAnsi="Arial" w:cs="Arial"/>
          <w:lang w:val="en-US" w:eastAsia="en-US"/>
        </w:rPr>
        <w:t xml:space="preserve"> Zemljoknjižni izvadak,</w:t>
      </w:r>
    </w:p>
    <w:p w14:paraId="6190D936" w14:textId="5582D705"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9. Rješenje o izmjenama podataka izdat od Općinskog suda Tuzla, broj: 032-0-Reg-16-001247,</w:t>
      </w:r>
    </w:p>
    <w:p w14:paraId="177FCFEF" w14:textId="126594C2"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10. Uvjerenje o poreskoj registraciji,</w:t>
      </w:r>
    </w:p>
    <w:p w14:paraId="5E0889E0" w14:textId="2A4A24C8"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11. Uvjerenje o registraciji/upisu u Jedinstveni registar obveznika indirektnih poreza</w:t>
      </w:r>
    </w:p>
    <w:p w14:paraId="7971E66B" w14:textId="038E6F8B"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12. Rješenje od urbanističkoj saglasnosti  izdato od Službe za prostorno uređenje i zaštitu okoline Tuzla, broj:06/10-23-002356/14 od 26.11.2014. godine,</w:t>
      </w:r>
    </w:p>
    <w:p w14:paraId="4B4603DD" w14:textId="37021E96"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13. Rješenje o odobrenju za građenje izdato od Službe za prostorno uređenje I zaštitu okoline Tuzla, broj: 06/10-23-003410/17 od 21.07.2017.,</w:t>
      </w:r>
    </w:p>
    <w:p w14:paraId="0D0B722B" w14:textId="0A59C818"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14. Rješenje o odobrenju za upotrebu izdato od Službe za prostorno uređenje I zaštitu okoline Tuzla, broj:06/10-23-7635-2019 od 22.11.2019. godine,</w:t>
      </w:r>
    </w:p>
    <w:p w14:paraId="315DF4B8" w14:textId="1D8ED104"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15. Ugovor sa ovlaštenim operaterima za zbrinjavanje opasnog otpada “Kemekop” d.o.o. Tuzla,</w:t>
      </w:r>
    </w:p>
    <w:p w14:paraId="0AF54E8A" w14:textId="2EEE3676"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16. Ugovor sa JKP “Komunalac” d.o.o. Tuzla o zbrinjavanju komunalnog otpada,</w:t>
      </w:r>
    </w:p>
    <w:p w14:paraId="03AC1D92" w14:textId="47EB7BE5" w:rsidR="007864D3"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17. Operativni plan za incidentna zagađenja,</w:t>
      </w:r>
    </w:p>
    <w:p w14:paraId="727F4CE2" w14:textId="37F79792" w:rsidR="00B4585F" w:rsidRDefault="007864D3"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18. </w:t>
      </w:r>
      <w:r w:rsidR="00B4585F">
        <w:rPr>
          <w:rFonts w:ascii="Arial" w:hAnsi="Arial" w:cs="Arial"/>
          <w:lang w:val="en-US" w:eastAsia="en-US"/>
        </w:rPr>
        <w:t>Izjava o istinitosti, tačnosti I potpunosti poadataka ,</w:t>
      </w:r>
    </w:p>
    <w:p w14:paraId="44645381" w14:textId="241195CB" w:rsidR="00B4585F" w:rsidRDefault="00B4585F" w:rsidP="00E477F6">
      <w:pPr>
        <w:spacing w:before="100" w:beforeAutospacing="1" w:after="100" w:afterAutospacing="1"/>
        <w:contextualSpacing/>
        <w:jc w:val="both"/>
        <w:rPr>
          <w:rFonts w:ascii="Arial" w:hAnsi="Arial" w:cs="Arial"/>
          <w:lang w:val="en-US" w:eastAsia="en-US"/>
        </w:rPr>
      </w:pPr>
      <w:r>
        <w:rPr>
          <w:rFonts w:ascii="Arial" w:hAnsi="Arial" w:cs="Arial"/>
          <w:lang w:val="en-US" w:eastAsia="en-US"/>
        </w:rPr>
        <w:t>19. Popis zagađujućih supstanci,</w:t>
      </w:r>
    </w:p>
    <w:p w14:paraId="7BC40BE1" w14:textId="1729ED6C" w:rsidR="00B4585F" w:rsidRDefault="00B4585F" w:rsidP="00B4585F">
      <w:pPr>
        <w:spacing w:before="100" w:beforeAutospacing="1" w:after="100" w:afterAutospacing="1"/>
        <w:contextualSpacing/>
        <w:jc w:val="both"/>
        <w:rPr>
          <w:rFonts w:ascii="Arial" w:hAnsi="Arial" w:cs="Arial"/>
          <w:lang w:val="en-US" w:eastAsia="en-US"/>
        </w:rPr>
      </w:pPr>
      <w:r>
        <w:rPr>
          <w:rFonts w:ascii="Arial" w:hAnsi="Arial" w:cs="Arial"/>
          <w:lang w:val="en-US" w:eastAsia="en-US"/>
        </w:rPr>
        <w:t>20. Slike: Kvaliteta ambijentalnog zraka (satelitski snimak sa ucrtanim mjernim mjestima), Nivo okolinske buke (satelitski snimak sa ucrtanim mjernim mjestima), Situacija dispozicije objekta pogona, Blok šema tehnološkog procesa zaštite metala toplim pocinčavanjem, Karta šireg I užeg područja okruženja (makro I mikro lokacija)</w:t>
      </w:r>
    </w:p>
    <w:p w14:paraId="51AC4CBC" w14:textId="71C0F553" w:rsidR="00B4585F" w:rsidRDefault="00B4585F" w:rsidP="00E477F6">
      <w:pPr>
        <w:spacing w:before="100" w:beforeAutospacing="1" w:after="100" w:afterAutospacing="1"/>
        <w:jc w:val="both"/>
        <w:rPr>
          <w:rFonts w:ascii="Arial" w:hAnsi="Arial" w:cs="Arial"/>
          <w:lang w:val="en-US" w:eastAsia="en-US"/>
        </w:rPr>
      </w:pPr>
    </w:p>
    <w:p w14:paraId="12DD4187" w14:textId="208F3BE0" w:rsidR="00B4585F" w:rsidRDefault="00B4585F" w:rsidP="00E477F6">
      <w:pPr>
        <w:spacing w:before="100" w:beforeAutospacing="1" w:after="100" w:afterAutospacing="1"/>
        <w:jc w:val="both"/>
        <w:rPr>
          <w:rFonts w:ascii="Arial" w:hAnsi="Arial" w:cs="Arial"/>
          <w:lang w:val="en-US" w:eastAsia="en-US"/>
        </w:rPr>
      </w:pPr>
      <w:r>
        <w:rPr>
          <w:rFonts w:ascii="Arial" w:hAnsi="Arial" w:cs="Arial"/>
          <w:lang w:val="en-US" w:eastAsia="en-US"/>
        </w:rPr>
        <w:t xml:space="preserve">Pravni osnov za izdavanje rješenja o obnovljenoj okolinskoj dozvoli </w:t>
      </w:r>
      <w:r w:rsidR="00590604">
        <w:rPr>
          <w:rFonts w:ascii="Arial" w:hAnsi="Arial" w:cs="Arial"/>
          <w:lang w:val="en-US" w:eastAsia="en-US"/>
        </w:rPr>
        <w:t xml:space="preserve">sadržan je u Poglavlju X. Zakona o zaštiti okoliša ( “Službene novine Federacije BiH”, broj:15/21) </w:t>
      </w:r>
      <w:r w:rsidR="0015075E">
        <w:rPr>
          <w:rFonts w:ascii="Arial" w:hAnsi="Arial" w:cs="Arial"/>
          <w:lang w:val="en-US" w:eastAsia="en-US"/>
        </w:rPr>
        <w:t>i</w:t>
      </w:r>
      <w:r w:rsidR="00590604">
        <w:rPr>
          <w:rFonts w:ascii="Arial" w:hAnsi="Arial" w:cs="Arial"/>
          <w:lang w:val="en-US" w:eastAsia="en-US"/>
        </w:rPr>
        <w:t xml:space="preserve"> na osnovu Priloga I Uredbe  kojom se utvrđuju pogoni </w:t>
      </w:r>
      <w:r w:rsidR="00F110B3">
        <w:rPr>
          <w:rFonts w:ascii="Arial" w:hAnsi="Arial" w:cs="Arial"/>
          <w:lang w:val="en-US" w:eastAsia="en-US"/>
        </w:rPr>
        <w:t>i</w:t>
      </w:r>
      <w:r w:rsidR="00590604">
        <w:rPr>
          <w:rFonts w:ascii="Arial" w:hAnsi="Arial" w:cs="Arial"/>
          <w:lang w:val="en-US" w:eastAsia="en-US"/>
        </w:rPr>
        <w:t xml:space="preserve"> postrojenja koja moraju imati okolinku dozvolu (“Službene novine Federacije BiH”, broj: 15/21, 74</w:t>
      </w:r>
      <w:r w:rsidR="003976B3">
        <w:rPr>
          <w:rFonts w:ascii="Arial" w:hAnsi="Arial" w:cs="Arial"/>
          <w:lang w:val="en-US" w:eastAsia="en-US"/>
        </w:rPr>
        <w:t xml:space="preserve">/22) pod tačkom 2.6. </w:t>
      </w:r>
      <w:r w:rsidR="00590604">
        <w:rPr>
          <w:rFonts w:ascii="Arial" w:hAnsi="Arial" w:cs="Arial"/>
          <w:lang w:val="en-US" w:eastAsia="en-US"/>
        </w:rPr>
        <w:t xml:space="preserve">koja se odnosi na površinsku obradu metala ili </w:t>
      </w:r>
      <w:r w:rsidR="00705DDB">
        <w:rPr>
          <w:rFonts w:ascii="Arial" w:hAnsi="Arial" w:cs="Arial"/>
          <w:lang w:val="en-US" w:eastAsia="en-US"/>
        </w:rPr>
        <w:t>plastičnih materijala u ko</w:t>
      </w:r>
      <w:r w:rsidR="00F110B3">
        <w:rPr>
          <w:rFonts w:ascii="Arial" w:hAnsi="Arial" w:cs="Arial"/>
          <w:lang w:val="en-US" w:eastAsia="en-US"/>
        </w:rPr>
        <w:t>jima se primjenjuje elektro</w:t>
      </w:r>
      <w:r w:rsidR="00126C66">
        <w:rPr>
          <w:rFonts w:ascii="Arial" w:hAnsi="Arial" w:cs="Arial"/>
          <w:lang w:val="en-US" w:eastAsia="en-US"/>
        </w:rPr>
        <w:t>litski</w:t>
      </w:r>
      <w:r w:rsidR="00705DDB">
        <w:rPr>
          <w:rFonts w:ascii="Arial" w:hAnsi="Arial" w:cs="Arial"/>
          <w:lang w:val="en-US" w:eastAsia="en-US"/>
        </w:rPr>
        <w:t xml:space="preserve"> ili hemijski postupak, s kadama za obradu zapremine veće od 30m</w:t>
      </w:r>
      <w:r w:rsidR="00705DDB">
        <w:rPr>
          <w:rFonts w:ascii="Arial" w:hAnsi="Arial" w:cs="Arial"/>
          <w:vertAlign w:val="superscript"/>
          <w:lang w:val="en-US" w:eastAsia="en-US"/>
        </w:rPr>
        <w:t xml:space="preserve">3 </w:t>
      </w:r>
      <w:r w:rsidR="00705DDB">
        <w:rPr>
          <w:rFonts w:ascii="Arial" w:hAnsi="Arial" w:cs="Arial"/>
          <w:lang w:val="en-US" w:eastAsia="en-US"/>
        </w:rPr>
        <w:t xml:space="preserve">, kao </w:t>
      </w:r>
      <w:r w:rsidR="00F110B3">
        <w:rPr>
          <w:rFonts w:ascii="Arial" w:hAnsi="Arial" w:cs="Arial"/>
          <w:lang w:val="en-US" w:eastAsia="en-US"/>
        </w:rPr>
        <w:t>i</w:t>
      </w:r>
      <w:r w:rsidR="00705DDB">
        <w:rPr>
          <w:rFonts w:ascii="Arial" w:hAnsi="Arial" w:cs="Arial"/>
          <w:lang w:val="en-US" w:eastAsia="en-US"/>
        </w:rPr>
        <w:t xml:space="preserve"> u skladu sa članom 4. Stav (1) Uredbe kojom se utvrđuju pogoni </w:t>
      </w:r>
      <w:r w:rsidR="00F110B3">
        <w:rPr>
          <w:rFonts w:ascii="Arial" w:hAnsi="Arial" w:cs="Arial"/>
          <w:lang w:val="en-US" w:eastAsia="en-US"/>
        </w:rPr>
        <w:t>i</w:t>
      </w:r>
      <w:r w:rsidR="00705DDB">
        <w:rPr>
          <w:rFonts w:ascii="Arial" w:hAnsi="Arial" w:cs="Arial"/>
          <w:lang w:val="en-US" w:eastAsia="en-US"/>
        </w:rPr>
        <w:t xml:space="preserve"> postrojenja koja moraju imati okolinsku dozvolu (“</w:t>
      </w:r>
      <w:r w:rsidR="00856197">
        <w:rPr>
          <w:rFonts w:ascii="Arial" w:hAnsi="Arial" w:cs="Arial"/>
          <w:lang w:val="en-US" w:eastAsia="en-US"/>
        </w:rPr>
        <w:t>Službene novine Federacije BiH</w:t>
      </w:r>
      <w:r w:rsidR="00705DDB">
        <w:rPr>
          <w:rFonts w:ascii="Arial" w:hAnsi="Arial" w:cs="Arial"/>
          <w:lang w:val="en-US" w:eastAsia="en-US"/>
        </w:rPr>
        <w:t>”, broj:51/21, 74/22)</w:t>
      </w:r>
      <w:r w:rsidR="0015075E">
        <w:rPr>
          <w:rFonts w:ascii="Arial" w:hAnsi="Arial" w:cs="Arial"/>
          <w:lang w:val="en-US" w:eastAsia="en-US"/>
        </w:rPr>
        <w:t>.</w:t>
      </w:r>
    </w:p>
    <w:p w14:paraId="2FC9BBE3" w14:textId="78237A73" w:rsidR="0015075E" w:rsidRDefault="0015075E" w:rsidP="0015075E">
      <w:pPr>
        <w:spacing w:before="100" w:beforeAutospacing="1" w:after="100" w:afterAutospacing="1"/>
        <w:jc w:val="both"/>
        <w:rPr>
          <w:rFonts w:ascii="Arial" w:hAnsi="Arial" w:cs="Arial"/>
          <w:lang w:val="en-US" w:eastAsia="en-US"/>
        </w:rPr>
      </w:pPr>
      <w:r>
        <w:rPr>
          <w:rFonts w:ascii="Arial" w:hAnsi="Arial" w:cs="Arial"/>
          <w:lang w:val="en-US" w:eastAsia="en-US"/>
        </w:rPr>
        <w:t>Zahtjev je sačinjen prema članu 86. i 93. Zakona o zaštiti okoliša (“Sl</w:t>
      </w:r>
      <w:r w:rsidR="00126C66">
        <w:rPr>
          <w:rFonts w:ascii="Arial" w:hAnsi="Arial" w:cs="Arial"/>
          <w:lang w:val="en-US" w:eastAsia="en-US"/>
        </w:rPr>
        <w:t>užbene novine Federacije BiH”) i</w:t>
      </w:r>
      <w:r>
        <w:rPr>
          <w:rFonts w:ascii="Arial" w:hAnsi="Arial" w:cs="Arial"/>
          <w:lang w:val="en-US" w:eastAsia="en-US"/>
        </w:rPr>
        <w:t xml:space="preserve"> prema Uredbi kojom se utvrđuju pogoni </w:t>
      </w:r>
      <w:r w:rsidR="00F110B3">
        <w:rPr>
          <w:rFonts w:ascii="Arial" w:hAnsi="Arial" w:cs="Arial"/>
          <w:lang w:val="en-US" w:eastAsia="en-US"/>
        </w:rPr>
        <w:t>i</w:t>
      </w:r>
      <w:r>
        <w:rPr>
          <w:rFonts w:ascii="Arial" w:hAnsi="Arial" w:cs="Arial"/>
          <w:lang w:val="en-US" w:eastAsia="en-US"/>
        </w:rPr>
        <w:t xml:space="preserve"> postrojenja koja moraju imati okolinsku dozvolu (“</w:t>
      </w:r>
      <w:r w:rsidR="00856197">
        <w:rPr>
          <w:rFonts w:ascii="Arial" w:hAnsi="Arial" w:cs="Arial"/>
          <w:lang w:val="en-US" w:eastAsia="en-US"/>
        </w:rPr>
        <w:t>Službene novine Federaicje BiH</w:t>
      </w:r>
      <w:r>
        <w:rPr>
          <w:rFonts w:ascii="Arial" w:hAnsi="Arial" w:cs="Arial"/>
          <w:lang w:val="en-US" w:eastAsia="en-US"/>
        </w:rPr>
        <w:t>”, broj:51/21, 74/22).</w:t>
      </w:r>
    </w:p>
    <w:p w14:paraId="1E4188DF" w14:textId="0960C184" w:rsidR="00126C66" w:rsidRDefault="0015075E" w:rsidP="00F048B0">
      <w:pPr>
        <w:spacing w:before="100" w:beforeAutospacing="1" w:after="100" w:afterAutospacing="1"/>
        <w:jc w:val="both"/>
        <w:rPr>
          <w:rFonts w:ascii="Arial" w:hAnsi="Arial" w:cs="Arial"/>
          <w:lang w:val="en-GB" w:eastAsia="en-GB"/>
        </w:rPr>
      </w:pPr>
      <w:r>
        <w:rPr>
          <w:rFonts w:ascii="Arial" w:hAnsi="Arial" w:cs="Arial"/>
          <w:lang w:val="en-US" w:eastAsia="en-US"/>
        </w:rPr>
        <w:t>Nakon pregledane dokumentacije utvrđeno je da Zahtjev nije potpun jer nedostaje uplata administrativne takse u iznosu od 250,00 KM u skladu sa Zakonom o federalnim upravnim taksama i tarifama.</w:t>
      </w:r>
      <w:r w:rsidR="00154A37">
        <w:rPr>
          <w:rFonts w:ascii="Arial" w:hAnsi="Arial" w:cs="Arial"/>
          <w:lang w:val="en-US" w:eastAsia="en-US"/>
        </w:rPr>
        <w:t xml:space="preserve"> Putem e-mail 24.03.2025.,a </w:t>
      </w:r>
      <w:r w:rsidR="00154A37">
        <w:rPr>
          <w:rFonts w:ascii="Arial" w:hAnsi="Arial" w:cs="Arial"/>
          <w:lang w:val="en-GB"/>
        </w:rPr>
        <w:t xml:space="preserve">u skladu sa članom 80 stav (2), a u vezi  člana 64. Zakona o upravnom postupku FBiH (“Službene novine FBiH, broj: </w:t>
      </w:r>
      <w:r w:rsidR="00154A37">
        <w:rPr>
          <w:rFonts w:ascii="Arial" w:hAnsi="Arial" w:cs="Arial"/>
          <w:lang w:val="en-GB" w:eastAsia="en-GB"/>
        </w:rPr>
        <w:t>2/1998, 48/1999 i 61/2022), tražena je dopuna zahtjeva na način da s</w:t>
      </w:r>
      <w:r w:rsidR="00F048B0">
        <w:rPr>
          <w:rFonts w:ascii="Arial" w:hAnsi="Arial" w:cs="Arial"/>
          <w:lang w:val="en-GB" w:eastAsia="en-GB"/>
        </w:rPr>
        <w:t xml:space="preserve">e pošalje skenirana uplatnica. </w:t>
      </w:r>
      <w:r w:rsidR="00154A37">
        <w:rPr>
          <w:rFonts w:ascii="Arial" w:hAnsi="Arial" w:cs="Arial"/>
          <w:lang w:val="en-GB" w:eastAsia="en-GB"/>
        </w:rPr>
        <w:t xml:space="preserve">Dana 25.03.2025. godine operater “IBRA” d.o.o. Tuzla je na e-mail dostavio skeniranu uplatnicu. </w:t>
      </w:r>
    </w:p>
    <w:p w14:paraId="48669568" w14:textId="69BD4D0B" w:rsidR="00F048B0" w:rsidRPr="00F048B0" w:rsidRDefault="00F048B0" w:rsidP="00F048B0">
      <w:pPr>
        <w:spacing w:before="100" w:beforeAutospacing="1" w:after="100" w:afterAutospacing="1"/>
        <w:jc w:val="both"/>
        <w:rPr>
          <w:rFonts w:ascii="Arial" w:hAnsi="Arial" w:cs="Arial"/>
          <w:lang w:val="en-GB" w:eastAsia="en-GB"/>
        </w:rPr>
      </w:pPr>
      <w:r w:rsidRPr="00F048B0">
        <w:rPr>
          <w:rFonts w:ascii="Arial" w:hAnsi="Arial" w:cs="Arial"/>
        </w:rPr>
        <w:t xml:space="preserve">Nakon uvida u dopunjenu  dokumentaciju, ovo federalno ministarstvo </w:t>
      </w:r>
      <w:r w:rsidRPr="00F048B0">
        <w:rPr>
          <w:rFonts w:ascii="Arial" w:hAnsi="Arial" w:cs="Arial"/>
          <w:lang w:val="pl-PL"/>
        </w:rPr>
        <w:t xml:space="preserve">je ocjenilo da je </w:t>
      </w:r>
      <w:r w:rsidRPr="00F048B0">
        <w:rPr>
          <w:rFonts w:ascii="Arial" w:hAnsi="Arial" w:cs="Arial"/>
          <w:lang w:val="it-IT"/>
        </w:rPr>
        <w:t>pogon i postrojenje za toplo pocinčavanje</w:t>
      </w:r>
      <w:r w:rsidRPr="00F048B0">
        <w:rPr>
          <w:rFonts w:ascii="Arial" w:hAnsi="Arial" w:cs="Arial"/>
        </w:rPr>
        <w:t xml:space="preserve"> u Općini Tuzla</w:t>
      </w:r>
      <w:r w:rsidRPr="00F048B0">
        <w:rPr>
          <w:rFonts w:ascii="Arial" w:hAnsi="Arial" w:cs="Arial"/>
          <w:lang w:val="hr-BA"/>
        </w:rPr>
        <w:t xml:space="preserve">, </w:t>
      </w:r>
      <w:r w:rsidRPr="00126C66">
        <w:rPr>
          <w:rFonts w:ascii="Arial" w:hAnsi="Arial" w:cs="Arial"/>
          <w:b/>
          <w:lang w:val="pl-PL"/>
        </w:rPr>
        <w:t>okolinski prihvatljiv.</w:t>
      </w:r>
    </w:p>
    <w:p w14:paraId="784CAA95" w14:textId="572CBE62" w:rsidR="00856197" w:rsidRDefault="00856197" w:rsidP="0015075E">
      <w:pPr>
        <w:spacing w:before="100" w:beforeAutospacing="1" w:after="100" w:afterAutospacing="1"/>
        <w:jc w:val="both"/>
        <w:rPr>
          <w:rFonts w:ascii="Arial" w:hAnsi="Arial" w:cs="Arial"/>
          <w:lang w:val="en-US" w:eastAsia="en-US"/>
        </w:rPr>
      </w:pPr>
      <w:r>
        <w:rPr>
          <w:rFonts w:ascii="Arial" w:hAnsi="Arial" w:cs="Arial"/>
          <w:lang w:val="en-GB" w:eastAsia="en-GB"/>
        </w:rPr>
        <w:t xml:space="preserve">Ministarstvo je poduzelo radnje u cilju obavještavanja javnosti o podnesenom zahtjevu za izdavanje obnovljenje okolinske dozvole, te kako se shodno članu </w:t>
      </w:r>
      <w:r w:rsidR="00044007">
        <w:rPr>
          <w:rFonts w:ascii="Arial" w:hAnsi="Arial" w:cs="Arial"/>
          <w:lang w:val="en-GB" w:eastAsia="en-GB"/>
        </w:rPr>
        <w:t>88 . Zakona o zaštiti okoliša (</w:t>
      </w:r>
      <w:bookmarkStart w:id="0" w:name="_GoBack"/>
      <w:bookmarkEnd w:id="0"/>
      <w:r>
        <w:rPr>
          <w:rFonts w:ascii="Arial" w:hAnsi="Arial" w:cs="Arial"/>
          <w:lang w:val="en-GB" w:eastAsia="en-GB"/>
        </w:rPr>
        <w:t>“</w:t>
      </w:r>
      <w:r>
        <w:rPr>
          <w:rFonts w:ascii="Arial" w:hAnsi="Arial" w:cs="Arial"/>
          <w:lang w:val="en-US" w:eastAsia="en-US"/>
        </w:rPr>
        <w:t>Službene novine Federacije BiH”, broj:15/21)</w:t>
      </w:r>
      <w:r w:rsidR="00F61A3E">
        <w:rPr>
          <w:rFonts w:ascii="Arial" w:hAnsi="Arial" w:cs="Arial"/>
          <w:lang w:val="en-US" w:eastAsia="en-US"/>
        </w:rPr>
        <w:t xml:space="preserve"> osiguralo učešće javnosti u predmetnom postupku. </w:t>
      </w:r>
    </w:p>
    <w:p w14:paraId="6EA2572A" w14:textId="77777777" w:rsidR="00120742" w:rsidRDefault="00120742" w:rsidP="0015075E">
      <w:pPr>
        <w:spacing w:before="100" w:beforeAutospacing="1" w:after="100" w:afterAutospacing="1"/>
        <w:jc w:val="both"/>
        <w:rPr>
          <w:rFonts w:ascii="Arial" w:hAnsi="Arial" w:cs="Arial"/>
          <w:lang w:val="en-US" w:eastAsia="en-US"/>
        </w:rPr>
      </w:pPr>
    </w:p>
    <w:p w14:paraId="7A5D2ED2" w14:textId="77777777" w:rsidR="00120742" w:rsidRDefault="00120742" w:rsidP="0015075E">
      <w:pPr>
        <w:spacing w:before="100" w:beforeAutospacing="1" w:after="100" w:afterAutospacing="1"/>
        <w:jc w:val="both"/>
        <w:rPr>
          <w:rFonts w:ascii="Arial" w:hAnsi="Arial" w:cs="Arial"/>
          <w:lang w:val="en-US" w:eastAsia="en-US"/>
        </w:rPr>
      </w:pPr>
    </w:p>
    <w:p w14:paraId="15F51FBE" w14:textId="7C844BCF" w:rsidR="00F61A3E" w:rsidRDefault="00F61A3E" w:rsidP="0015075E">
      <w:pPr>
        <w:spacing w:before="100" w:beforeAutospacing="1" w:after="100" w:afterAutospacing="1"/>
        <w:jc w:val="both"/>
        <w:rPr>
          <w:rFonts w:ascii="Arial" w:hAnsi="Arial" w:cs="Arial"/>
          <w:lang w:val="en-US" w:eastAsia="en-US"/>
        </w:rPr>
      </w:pPr>
      <w:r>
        <w:rPr>
          <w:rFonts w:ascii="Arial" w:hAnsi="Arial" w:cs="Arial"/>
          <w:lang w:val="en-US" w:eastAsia="en-US"/>
        </w:rPr>
        <w:t>U cilju osiguranja učešća javn</w:t>
      </w:r>
      <w:r w:rsidR="00074B99">
        <w:rPr>
          <w:rFonts w:ascii="Arial" w:hAnsi="Arial" w:cs="Arial"/>
          <w:lang w:val="en-US" w:eastAsia="en-US"/>
        </w:rPr>
        <w:t>osti u postupku poduzete su slij</w:t>
      </w:r>
      <w:r>
        <w:rPr>
          <w:rFonts w:ascii="Arial" w:hAnsi="Arial" w:cs="Arial"/>
          <w:lang w:val="en-US" w:eastAsia="en-US"/>
        </w:rPr>
        <w:t>e</w:t>
      </w:r>
      <w:r w:rsidR="00074B99">
        <w:rPr>
          <w:rFonts w:ascii="Arial" w:hAnsi="Arial" w:cs="Arial"/>
          <w:lang w:val="en-US" w:eastAsia="en-US"/>
        </w:rPr>
        <w:t>de</w:t>
      </w:r>
      <w:r>
        <w:rPr>
          <w:rFonts w:ascii="Arial" w:hAnsi="Arial" w:cs="Arial"/>
          <w:lang w:val="en-US" w:eastAsia="en-US"/>
        </w:rPr>
        <w:t>će radnje:</w:t>
      </w:r>
    </w:p>
    <w:p w14:paraId="03EF523A" w14:textId="30AC7245" w:rsidR="00154A37" w:rsidRPr="006D6B19" w:rsidRDefault="00F61A3E" w:rsidP="006D6B19">
      <w:pPr>
        <w:pStyle w:val="ListParagraph"/>
        <w:numPr>
          <w:ilvl w:val="0"/>
          <w:numId w:val="1"/>
        </w:numPr>
        <w:spacing w:before="100" w:beforeAutospacing="1" w:after="100" w:afterAutospacing="1"/>
        <w:jc w:val="both"/>
        <w:rPr>
          <w:rFonts w:ascii="Arial" w:hAnsi="Arial" w:cs="Arial"/>
          <w:lang w:val="en-US" w:eastAsia="en-US"/>
        </w:rPr>
      </w:pPr>
      <w:r w:rsidRPr="006D6B19">
        <w:rPr>
          <w:rFonts w:ascii="Arial" w:hAnsi="Arial" w:cs="Arial"/>
          <w:lang w:val="en-GB" w:eastAsia="en-GB"/>
        </w:rPr>
        <w:t xml:space="preserve">Objavom na internet stranici Federalnog ministarstva okoliša </w:t>
      </w:r>
      <w:r w:rsidR="00074B99">
        <w:rPr>
          <w:rFonts w:ascii="Arial" w:hAnsi="Arial" w:cs="Arial"/>
          <w:lang w:val="en-GB" w:eastAsia="en-GB"/>
        </w:rPr>
        <w:t>i</w:t>
      </w:r>
      <w:r w:rsidRPr="006D6B19">
        <w:rPr>
          <w:rFonts w:ascii="Arial" w:hAnsi="Arial" w:cs="Arial"/>
          <w:lang w:val="en-GB" w:eastAsia="en-GB"/>
        </w:rPr>
        <w:t xml:space="preserve"> turizma od 29.03.2025. godine </w:t>
      </w:r>
      <w:r w:rsidR="006D6B19" w:rsidRPr="006D6B19">
        <w:rPr>
          <w:rFonts w:ascii="Arial" w:hAnsi="Arial" w:cs="Arial"/>
          <w:lang w:val="en-GB" w:eastAsia="en-GB"/>
        </w:rPr>
        <w:t xml:space="preserve"> javnost je informisana o podnesenom zahtjevu za izdavanje obnovljene okolinske dozvole, u istoj obavijesti navedeno je da se javni uvid u Zahtjev za izdavanje rješenja o obnovljenoj okolinskoj dozvoli može izvršiti u prostorijama Ministarstva kao </w:t>
      </w:r>
      <w:r w:rsidR="00074B99">
        <w:rPr>
          <w:rFonts w:ascii="Arial" w:hAnsi="Arial" w:cs="Arial"/>
          <w:lang w:val="en-GB" w:eastAsia="en-GB"/>
        </w:rPr>
        <w:t>i</w:t>
      </w:r>
      <w:r w:rsidR="006D6B19" w:rsidRPr="006D6B19">
        <w:rPr>
          <w:rFonts w:ascii="Arial" w:hAnsi="Arial" w:cs="Arial"/>
          <w:lang w:val="en-GB" w:eastAsia="en-GB"/>
        </w:rPr>
        <w:t xml:space="preserve"> na web stranici </w:t>
      </w:r>
      <w:hyperlink r:id="rId5" w:history="1">
        <w:r w:rsidR="006D6B19" w:rsidRPr="000C7066">
          <w:rPr>
            <w:rStyle w:val="Hyperlink"/>
            <w:rFonts w:ascii="Arial" w:hAnsi="Arial" w:cs="Arial"/>
            <w:lang w:val="en-GB" w:eastAsia="en-GB"/>
          </w:rPr>
          <w:t>www.fmoit.gov.ba/okolišna</w:t>
        </w:r>
      </w:hyperlink>
      <w:r w:rsidR="006D6B19">
        <w:rPr>
          <w:rFonts w:ascii="Arial" w:hAnsi="Arial" w:cs="Arial"/>
          <w:lang w:val="en-GB" w:eastAsia="en-GB"/>
        </w:rPr>
        <w:t xml:space="preserve"> dozvola/javne rasprave i javni uvid uz pouku da se primjedbe na zahtjev za izdavanje rješenja o obnovljenoj okolinskoj dovoli mogu dostaviti u pisanoj formiu u roku od 30 dana od dana javnog objavljivanja na adresu Federalnog ministartsva okoliša i turizma.,</w:t>
      </w:r>
    </w:p>
    <w:p w14:paraId="7DC5043E" w14:textId="71ABA8EA" w:rsidR="006D6B19" w:rsidRPr="006D6B19" w:rsidRDefault="006D6B19" w:rsidP="006D6B19">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GB" w:eastAsia="en-GB"/>
        </w:rPr>
        <w:t>Dopisom od 26.03.2025. o podnesenom zahtjevu obavještenja Gradu Tuzli da u skladu sa svojim nadležnostima obavijesti ostale zainteresirane subjekte sa područja grada Cazina ( jedinice lokalne samouprave, mjesnim zajednicama I n</w:t>
      </w:r>
      <w:r w:rsidR="00074B99">
        <w:rPr>
          <w:rFonts w:ascii="Arial" w:hAnsi="Arial" w:cs="Arial"/>
          <w:lang w:val="en-GB" w:eastAsia="en-GB"/>
        </w:rPr>
        <w:t>e</w:t>
      </w:r>
      <w:r>
        <w:rPr>
          <w:rFonts w:ascii="Arial" w:hAnsi="Arial" w:cs="Arial"/>
          <w:lang w:val="en-GB" w:eastAsia="en-GB"/>
        </w:rPr>
        <w:t>vladinim organizacijama koje se bave zaštitom okoliša).,</w:t>
      </w:r>
    </w:p>
    <w:p w14:paraId="3F14181F" w14:textId="5859FBAC" w:rsidR="006D6B19" w:rsidRPr="006D6B19" w:rsidRDefault="006D6B19" w:rsidP="006D6B19">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GB" w:eastAsia="en-GB"/>
        </w:rPr>
        <w:t>Dopisom od 26.03.2025. o podnesenom zahtjevu Ministratvu za prostorno uređenje u zaštitu okolice .</w:t>
      </w:r>
    </w:p>
    <w:p w14:paraId="1E5BC783" w14:textId="26EAE396" w:rsidR="00F048B0" w:rsidRPr="00F048B0" w:rsidRDefault="00F048B0" w:rsidP="00F048B0">
      <w:pPr>
        <w:spacing w:before="100" w:beforeAutospacing="1" w:after="100" w:afterAutospacing="1"/>
        <w:jc w:val="both"/>
        <w:rPr>
          <w:rFonts w:ascii="Arial" w:hAnsi="Arial" w:cs="Arial"/>
          <w:lang w:val="en-US" w:eastAsia="en-US"/>
        </w:rPr>
      </w:pPr>
      <w:r>
        <w:rPr>
          <w:rFonts w:ascii="Arial" w:hAnsi="Arial" w:cs="Arial"/>
          <w:lang w:val="en-US" w:eastAsia="en-US"/>
        </w:rPr>
        <w:t>U zakonskom roku od 30 dana nisu zaprimljene nikakve primjedbe</w:t>
      </w:r>
      <w:r w:rsidRPr="00F048B0">
        <w:rPr>
          <w:rFonts w:ascii="Arial" w:hAnsi="Arial" w:cs="Arial"/>
          <w:lang w:val="en-US" w:eastAsia="en-US"/>
        </w:rPr>
        <w:t xml:space="preserve"> i </w:t>
      </w:r>
      <w:r w:rsidR="001C5A48">
        <w:rPr>
          <w:rFonts w:ascii="Arial" w:hAnsi="Arial" w:cs="Arial"/>
          <w:lang w:val="en-US" w:eastAsia="en-US"/>
        </w:rPr>
        <w:t xml:space="preserve">sugestije </w:t>
      </w:r>
      <w:r w:rsidRPr="00F048B0">
        <w:rPr>
          <w:rFonts w:ascii="Arial" w:hAnsi="Arial" w:cs="Arial"/>
          <w:lang w:val="en-US" w:eastAsia="en-US"/>
        </w:rPr>
        <w:t>na zahtjev za obnovu rješenja okolinske dozvole operatera “IBRA” d.o.o. Tuzla nije bilo.</w:t>
      </w:r>
    </w:p>
    <w:p w14:paraId="0F18E74E" w14:textId="7D075BDA" w:rsidR="006D6B19" w:rsidRPr="00F048B0" w:rsidRDefault="002F344C" w:rsidP="00F048B0">
      <w:pPr>
        <w:spacing w:before="100" w:beforeAutospacing="1" w:after="100" w:afterAutospacing="1"/>
        <w:jc w:val="both"/>
        <w:rPr>
          <w:rFonts w:ascii="Arial" w:hAnsi="Arial" w:cs="Arial"/>
          <w:lang w:val="en-US" w:eastAsia="en-US"/>
        </w:rPr>
      </w:pPr>
      <w:r w:rsidRPr="00F048B0">
        <w:rPr>
          <w:rFonts w:ascii="Arial" w:hAnsi="Arial" w:cs="Arial"/>
          <w:lang w:val="en-US" w:eastAsia="en-US"/>
        </w:rPr>
        <w:t>Dopisom od 26.03.2025. godine ovo ministarstvo je zatražilo dostavu zapisnika o izvršenim inspekcijskim nalazima od strane Federalne uprave za inspekcijske poslove kod operatera “IBRA” d.o.o. Tuzla. Dana 17.04.2025. ovom ministarstvu su dostavljeni izvještaji o izvršenim inspekcijskim nadzorima, broj: 10-19-5-02190/2025-1007-2-P od 14.04.2025. godine gdje su sadržani sljedeći zapisnici:</w:t>
      </w:r>
    </w:p>
    <w:p w14:paraId="53D3F4B7" w14:textId="5F17F68C" w:rsidR="002F344C" w:rsidRDefault="002F344C" w:rsidP="002F344C">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US" w:eastAsia="en-US"/>
        </w:rPr>
        <w:t>Zapisnik broj: UP1-10-19-3-00053/2023-1007-P-1007-1-P od 11.07.2023.,</w:t>
      </w:r>
    </w:p>
    <w:p w14:paraId="355A370C" w14:textId="7458F811" w:rsidR="002F344C" w:rsidRDefault="002F344C" w:rsidP="002F344C">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US" w:eastAsia="en-US"/>
        </w:rPr>
        <w:t>Zapisnik broj UP1-10-19-3-05358/2023-1007-4-P od 15.11.2023.,</w:t>
      </w:r>
    </w:p>
    <w:p w14:paraId="14319399" w14:textId="17C65435" w:rsidR="002F344C" w:rsidRDefault="002F344C" w:rsidP="002F344C">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US" w:eastAsia="en-US"/>
        </w:rPr>
        <w:t>Zapisnik broj: UP1-10-19-3-05358/2023-1007-10-P od 17.05.2024.,</w:t>
      </w:r>
    </w:p>
    <w:p w14:paraId="2E993924" w14:textId="2981C859" w:rsidR="002F344C" w:rsidRDefault="002F344C" w:rsidP="002F344C">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US" w:eastAsia="en-US"/>
        </w:rPr>
        <w:t>Zapisnik broj: UP1-10-19-3-00036/2024-1007-P-1007-1-P od 17.05.2024.,</w:t>
      </w:r>
    </w:p>
    <w:p w14:paraId="72EFBF71" w14:textId="3F52227D" w:rsidR="002F344C" w:rsidRDefault="002F344C" w:rsidP="002F344C">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US" w:eastAsia="en-US"/>
        </w:rPr>
        <w:t>Zapisnik broj: UP1-10-19-3-03463/2024-1007-3-P od 11.12.2025.,</w:t>
      </w:r>
    </w:p>
    <w:p w14:paraId="4D01FD09" w14:textId="57B09C0C" w:rsidR="002F344C" w:rsidRDefault="002F344C" w:rsidP="002F344C">
      <w:pPr>
        <w:pStyle w:val="ListParagraph"/>
        <w:numPr>
          <w:ilvl w:val="0"/>
          <w:numId w:val="1"/>
        </w:numPr>
        <w:spacing w:before="100" w:beforeAutospacing="1" w:after="100" w:afterAutospacing="1"/>
        <w:jc w:val="both"/>
        <w:rPr>
          <w:rFonts w:ascii="Arial" w:hAnsi="Arial" w:cs="Arial"/>
          <w:lang w:val="en-US" w:eastAsia="en-US"/>
        </w:rPr>
      </w:pPr>
      <w:r>
        <w:rPr>
          <w:rFonts w:ascii="Arial" w:hAnsi="Arial" w:cs="Arial"/>
          <w:lang w:val="en-US" w:eastAsia="en-US"/>
        </w:rPr>
        <w:t>Zapisnik broj UP1-10-19-3-03463/2024-1007-10-P od 17.03.2025.</w:t>
      </w:r>
    </w:p>
    <w:p w14:paraId="2D5F4F34" w14:textId="391C00A2" w:rsidR="002F344C" w:rsidRDefault="002F344C" w:rsidP="002F344C">
      <w:pPr>
        <w:spacing w:before="100" w:beforeAutospacing="1" w:after="100" w:afterAutospacing="1"/>
        <w:jc w:val="both"/>
        <w:rPr>
          <w:rFonts w:ascii="Arial" w:hAnsi="Arial" w:cs="Arial"/>
          <w:lang w:val="en-US" w:eastAsia="en-US"/>
        </w:rPr>
      </w:pPr>
      <w:r>
        <w:rPr>
          <w:rFonts w:ascii="Arial" w:hAnsi="Arial" w:cs="Arial"/>
          <w:lang w:val="en-US" w:eastAsia="en-US"/>
        </w:rPr>
        <w:t xml:space="preserve">Iz dostavljenih zapisnika o izvršenim inspekcijskim nadzorima nad pogonom za toplo pocinčavanje metalnih pozicija </w:t>
      </w:r>
      <w:r w:rsidR="00F048B0">
        <w:rPr>
          <w:rFonts w:ascii="Arial" w:hAnsi="Arial" w:cs="Arial"/>
          <w:lang w:val="en-US" w:eastAsia="en-US"/>
        </w:rPr>
        <w:t>–</w:t>
      </w:r>
      <w:r>
        <w:rPr>
          <w:rFonts w:ascii="Arial" w:hAnsi="Arial" w:cs="Arial"/>
          <w:lang w:val="en-US" w:eastAsia="en-US"/>
        </w:rPr>
        <w:t xml:space="preserve"> cinkaone</w:t>
      </w:r>
      <w:r w:rsidR="00F048B0">
        <w:rPr>
          <w:rFonts w:ascii="Arial" w:hAnsi="Arial" w:cs="Arial"/>
          <w:lang w:val="en-US" w:eastAsia="en-US"/>
        </w:rPr>
        <w:t xml:space="preserve"> kojim upravlja operater “IBRA” d.o.o. Tuzla možemo zaključiti da subjekt nadzora ispunjava sve obaveze propisane okolišnom dozvolom. </w:t>
      </w:r>
    </w:p>
    <w:p w14:paraId="6595AB30" w14:textId="2C51FCE2" w:rsidR="00FD38C3" w:rsidRDefault="004C4A73" w:rsidP="002F344C">
      <w:pPr>
        <w:spacing w:before="100" w:beforeAutospacing="1" w:after="100" w:afterAutospacing="1"/>
        <w:jc w:val="both"/>
        <w:rPr>
          <w:rFonts w:ascii="Arial" w:hAnsi="Arial" w:cs="Arial"/>
          <w:lang w:val="en-US" w:eastAsia="en-US"/>
        </w:rPr>
      </w:pPr>
      <w:r>
        <w:rPr>
          <w:rFonts w:ascii="Arial" w:hAnsi="Arial" w:cs="Arial"/>
          <w:lang w:val="en-US" w:eastAsia="en-US"/>
        </w:rPr>
        <w:t xml:space="preserve">Budući da je operater </w:t>
      </w:r>
      <w:r w:rsidR="00091B33">
        <w:rPr>
          <w:rFonts w:ascii="Arial" w:hAnsi="Arial" w:cs="Arial"/>
          <w:lang w:val="en-US" w:eastAsia="en-US"/>
        </w:rPr>
        <w:t>proveo svu proceduru</w:t>
      </w:r>
      <w:r w:rsidR="00FD38C3">
        <w:rPr>
          <w:rFonts w:ascii="Arial" w:hAnsi="Arial" w:cs="Arial"/>
          <w:lang w:val="en-US" w:eastAsia="en-US"/>
        </w:rPr>
        <w:t xml:space="preserve"> vezanu za i</w:t>
      </w:r>
      <w:r>
        <w:rPr>
          <w:rFonts w:ascii="Arial" w:hAnsi="Arial" w:cs="Arial"/>
          <w:lang w:val="en-US" w:eastAsia="en-US"/>
        </w:rPr>
        <w:t>zdavanje okolinske dozvole u skladu sa</w:t>
      </w:r>
      <w:r w:rsidR="00C24658">
        <w:rPr>
          <w:rFonts w:ascii="Arial" w:hAnsi="Arial" w:cs="Arial"/>
          <w:lang w:val="en-US" w:eastAsia="en-US"/>
        </w:rPr>
        <w:t xml:space="preserve"> članom </w:t>
      </w:r>
      <w:r w:rsidR="00FD38C3" w:rsidRPr="000E795E">
        <w:rPr>
          <w:rFonts w:ascii="Arial" w:hAnsi="Arial" w:cs="Arial"/>
          <w:lang w:val="en-US" w:eastAsia="en-US"/>
        </w:rPr>
        <w:t xml:space="preserve"> </w:t>
      </w:r>
      <w:r w:rsidR="00FD38C3">
        <w:rPr>
          <w:rFonts w:ascii="Arial" w:hAnsi="Arial" w:cs="Arial"/>
          <w:lang w:val="en-US" w:eastAsia="en-US"/>
        </w:rPr>
        <w:t>83. stav (2) i članom 89. i članom 93. stav (1)  Zakona o zaštiti okoliša (“Službene novine Federacije BiH” , broj 15/21) i članom 4. stav (1) Uredbe kojom se utvrđuju pogoni i postrojenja koja moraju imati okolišnu dozvolu (“Službene novine Federacije BiH” , broj: 51/21 i 74/22) i člana 200. Zakona o upravnom postupku (“Sllužbene novine Fedracije BiH”, broj 02/98 i 48/99 i 61/22) odlučeno je kao u dispozitivu ovog Rješenja.</w:t>
      </w:r>
    </w:p>
    <w:p w14:paraId="0215334E" w14:textId="520169C5" w:rsidR="004C4A73" w:rsidRDefault="00C24658" w:rsidP="002F344C">
      <w:pPr>
        <w:spacing w:before="100" w:beforeAutospacing="1" w:after="100" w:afterAutospacing="1"/>
        <w:jc w:val="both"/>
        <w:rPr>
          <w:rFonts w:ascii="Arial" w:hAnsi="Arial" w:cs="Arial"/>
          <w:lang w:val="en-US" w:eastAsia="en-US"/>
        </w:rPr>
      </w:pPr>
      <w:r>
        <w:rPr>
          <w:rFonts w:ascii="Arial" w:hAnsi="Arial" w:cs="Arial"/>
          <w:lang w:val="en-US" w:eastAsia="en-US"/>
        </w:rPr>
        <w:t xml:space="preserve">U skladu sa Zakonom o federalnim upravnim taksama i tarifi federalnih upravnih taksi (“Službene nvine Federacije BiH”, br: 43/13) Tarife federalnih upravnih pristojbi – 14 Takse iz oblasti okoliša tarifni broj 57. Tačka 4. Podnositelj zahtjeva je uplatio 250,00 KM na budžetski račun Federacije Bosne </w:t>
      </w:r>
      <w:r w:rsidR="00074B99">
        <w:rPr>
          <w:rFonts w:ascii="Arial" w:hAnsi="Arial" w:cs="Arial"/>
          <w:lang w:val="en-US" w:eastAsia="en-US"/>
        </w:rPr>
        <w:t>i</w:t>
      </w:r>
      <w:r>
        <w:rPr>
          <w:rFonts w:ascii="Arial" w:hAnsi="Arial" w:cs="Arial"/>
          <w:lang w:val="en-US" w:eastAsia="en-US"/>
        </w:rPr>
        <w:t xml:space="preserve"> Hercegovine broj:1020500000106698 otvoren kod UNION BANKE d.o.o Sarajevo.</w:t>
      </w:r>
    </w:p>
    <w:p w14:paraId="1B072AF3" w14:textId="1EE22318" w:rsidR="00F048B0" w:rsidRDefault="00C24658" w:rsidP="002F344C">
      <w:pPr>
        <w:spacing w:before="100" w:beforeAutospacing="1" w:after="100" w:afterAutospacing="1"/>
        <w:jc w:val="both"/>
        <w:rPr>
          <w:rFonts w:ascii="Arial" w:hAnsi="Arial" w:cs="Arial"/>
          <w:b/>
          <w:color w:val="000000" w:themeColor="text1"/>
          <w:lang w:val="en-US" w:eastAsia="en-US"/>
        </w:rPr>
      </w:pPr>
      <w:r w:rsidRPr="00C24658">
        <w:rPr>
          <w:rFonts w:ascii="Arial" w:hAnsi="Arial" w:cs="Arial"/>
          <w:b/>
          <w:color w:val="000000" w:themeColor="text1"/>
          <w:lang w:val="en-US" w:eastAsia="en-US"/>
        </w:rPr>
        <w:t>Uputa o pravnom lijeku:</w:t>
      </w:r>
    </w:p>
    <w:p w14:paraId="0EC81E9A" w14:textId="583B02C8" w:rsidR="00FD38C3" w:rsidRDefault="00FD38C3" w:rsidP="00FD38C3">
      <w:pPr>
        <w:spacing w:after="240"/>
        <w:jc w:val="both"/>
        <w:rPr>
          <w:rFonts w:ascii="Arial" w:hAnsi="Arial" w:cs="Arial"/>
          <w:lang w:val="en-GB" w:eastAsia="en-US"/>
        </w:rPr>
      </w:pPr>
      <w:r>
        <w:rPr>
          <w:rFonts w:ascii="Arial" w:hAnsi="Arial" w:cs="Arial"/>
          <w:lang w:val="en-GB"/>
        </w:rPr>
        <w:t xml:space="preserve">Ovo rješenje je konačno u upravnom postupku i protiv istog nije dopuštena žalba, ali se može pokrenuti upravni spor podnošenjem tužbe kod nadležnog suda  u roku od 30 dana od dana prjema. </w:t>
      </w:r>
    </w:p>
    <w:p w14:paraId="0DDF9D46" w14:textId="77777777" w:rsidR="00F048B0" w:rsidRPr="002F344C" w:rsidRDefault="00F048B0" w:rsidP="002F344C">
      <w:pPr>
        <w:spacing w:before="100" w:beforeAutospacing="1" w:after="100" w:afterAutospacing="1"/>
        <w:jc w:val="both"/>
        <w:rPr>
          <w:rFonts w:ascii="Arial" w:hAnsi="Arial" w:cs="Arial"/>
          <w:lang w:val="en-US" w:eastAsia="en-US"/>
        </w:rPr>
      </w:pPr>
    </w:p>
    <w:p w14:paraId="41CBF30C" w14:textId="77777777" w:rsidR="00157BB0" w:rsidRDefault="00157BB0" w:rsidP="00157BB0">
      <w:pPr>
        <w:ind w:left="5760"/>
        <w:rPr>
          <w:rFonts w:ascii="Arial" w:hAnsi="Arial" w:cs="Arial"/>
          <w:lang w:val="en-US" w:eastAsia="en-US"/>
        </w:rPr>
      </w:pPr>
    </w:p>
    <w:p w14:paraId="02DA8771" w14:textId="0D2E3C4C" w:rsidR="00157BB0" w:rsidRPr="00157BB0" w:rsidRDefault="00157BB0" w:rsidP="00157BB0">
      <w:pPr>
        <w:ind w:left="5760"/>
        <w:rPr>
          <w:rFonts w:ascii="Arial" w:hAnsi="Arial" w:cs="Arial"/>
          <w:b/>
          <w:bCs/>
        </w:rPr>
      </w:pPr>
      <w:r w:rsidRPr="00157BB0">
        <w:rPr>
          <w:rFonts w:ascii="Arial" w:hAnsi="Arial"/>
          <w:b/>
          <w:bCs/>
        </w:rPr>
        <w:t>M I N I S T R I CA</w:t>
      </w:r>
      <w:r w:rsidRPr="00157BB0">
        <w:rPr>
          <w:rFonts w:ascii="Arial" w:hAnsi="Arial" w:cs="Arial"/>
          <w:b/>
          <w:bCs/>
        </w:rPr>
        <w:t xml:space="preserve">         </w:t>
      </w:r>
    </w:p>
    <w:p w14:paraId="148AAA15" w14:textId="77777777" w:rsidR="00157BB0" w:rsidRPr="00157BB0" w:rsidRDefault="00157BB0" w:rsidP="00157BB0">
      <w:pPr>
        <w:ind w:left="5760"/>
        <w:rPr>
          <w:rFonts w:ascii="Arial" w:hAnsi="Arial"/>
          <w:b/>
          <w:bCs/>
        </w:rPr>
      </w:pPr>
      <w:r w:rsidRPr="00157BB0">
        <w:rPr>
          <w:rFonts w:ascii="Arial" w:hAnsi="Arial" w:cs="Arial"/>
          <w:b/>
          <w:bCs/>
        </w:rPr>
        <w:t xml:space="preserve">                                                                                                            </w:t>
      </w:r>
    </w:p>
    <w:p w14:paraId="03013374" w14:textId="77777777" w:rsidR="00091B33" w:rsidRDefault="00157BB0" w:rsidP="00091B33">
      <w:pPr>
        <w:rPr>
          <w:rFonts w:ascii="Arial" w:hAnsi="Arial" w:cs="Arial"/>
          <w:b/>
        </w:rPr>
      </w:pPr>
      <w:r w:rsidRPr="00157BB0">
        <w:rPr>
          <w:rFonts w:ascii="Arial" w:hAnsi="Arial" w:cs="Arial"/>
          <w:b/>
        </w:rPr>
        <w:t xml:space="preserve">                                                          </w:t>
      </w:r>
    </w:p>
    <w:p w14:paraId="029172D7" w14:textId="254DDE31" w:rsidR="00091B33" w:rsidRPr="00044007" w:rsidRDefault="00091B33" w:rsidP="00044007">
      <w:pPr>
        <w:rPr>
          <w:rFonts w:ascii="Arial" w:hAnsi="Arial" w:cs="Arial"/>
          <w:b/>
        </w:rPr>
      </w:pPr>
      <w:r>
        <w:rPr>
          <w:rFonts w:ascii="Arial" w:hAnsi="Arial" w:cs="Arial"/>
          <w:b/>
        </w:rPr>
        <w:t xml:space="preserve">                                                                                    </w:t>
      </w:r>
      <w:r w:rsidR="00044007">
        <w:rPr>
          <w:rFonts w:ascii="Arial" w:hAnsi="Arial" w:cs="Arial"/>
          <w:b/>
        </w:rPr>
        <w:t>dr. sc. Nasiha Pozder</w:t>
      </w:r>
    </w:p>
    <w:p w14:paraId="1803AEB2" w14:textId="77777777" w:rsidR="00091B33" w:rsidRDefault="00091B33" w:rsidP="00BB63AB">
      <w:pPr>
        <w:spacing w:before="100" w:beforeAutospacing="1" w:after="100" w:afterAutospacing="1"/>
        <w:jc w:val="both"/>
        <w:rPr>
          <w:rFonts w:ascii="Arial" w:hAnsi="Arial" w:cs="Arial"/>
          <w:i/>
          <w:lang w:val="en-US" w:eastAsia="en-US"/>
        </w:rPr>
      </w:pPr>
    </w:p>
    <w:p w14:paraId="35C8AB70" w14:textId="77777777" w:rsidR="00091B33" w:rsidRDefault="00091B33" w:rsidP="00BB63AB">
      <w:pPr>
        <w:spacing w:before="100" w:beforeAutospacing="1" w:after="100" w:afterAutospacing="1"/>
        <w:jc w:val="both"/>
        <w:rPr>
          <w:rFonts w:ascii="Arial" w:hAnsi="Arial" w:cs="Arial"/>
          <w:i/>
          <w:lang w:val="en-US" w:eastAsia="en-US"/>
        </w:rPr>
      </w:pPr>
    </w:p>
    <w:p w14:paraId="200A999A" w14:textId="60519B88" w:rsidR="00091B33" w:rsidRPr="00157BB0" w:rsidRDefault="00BB63AB" w:rsidP="00BB63AB">
      <w:pPr>
        <w:spacing w:before="100" w:beforeAutospacing="1" w:after="100" w:afterAutospacing="1"/>
        <w:jc w:val="both"/>
        <w:rPr>
          <w:rFonts w:ascii="Arial" w:hAnsi="Arial" w:cs="Arial"/>
          <w:i/>
          <w:lang w:val="en-US" w:eastAsia="en-US"/>
        </w:rPr>
      </w:pPr>
      <w:r w:rsidRPr="00157BB0">
        <w:rPr>
          <w:rFonts w:ascii="Arial" w:hAnsi="Arial" w:cs="Arial"/>
          <w:i/>
          <w:lang w:val="en-US" w:eastAsia="en-US"/>
        </w:rPr>
        <w:t>Dostaviti:</w:t>
      </w:r>
    </w:p>
    <w:p w14:paraId="48D47B71" w14:textId="10069FB8" w:rsidR="00BB63AB" w:rsidRDefault="00BB63AB" w:rsidP="00BB63AB">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-“IBRA” d.o.o. Tuzla </w:t>
      </w:r>
    </w:p>
    <w:p w14:paraId="692A226B" w14:textId="698F561D" w:rsidR="00BB63AB" w:rsidRPr="00705DDB" w:rsidRDefault="00BB63AB" w:rsidP="00BB63AB">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-Grad Tuzla </w:t>
      </w:r>
    </w:p>
    <w:p w14:paraId="506BD643" w14:textId="77777777" w:rsidR="00BB63AB" w:rsidRDefault="00BB63AB" w:rsidP="00BB63AB">
      <w:pPr>
        <w:spacing w:before="100" w:beforeAutospacing="1" w:after="100" w:afterAutospacing="1"/>
        <w:contextualSpacing/>
        <w:jc w:val="both"/>
        <w:rPr>
          <w:rFonts w:ascii="Arial" w:hAnsi="Arial" w:cs="Arial"/>
          <w:lang w:val="en-US" w:eastAsia="en-US"/>
        </w:rPr>
      </w:pPr>
      <w:r>
        <w:rPr>
          <w:rFonts w:ascii="Arial" w:hAnsi="Arial" w:cs="Arial"/>
          <w:lang w:val="en-US" w:eastAsia="en-US"/>
        </w:rPr>
        <w:t>-Ministartvo prostornog uređenja i zaštite okolice</w:t>
      </w:r>
    </w:p>
    <w:p w14:paraId="09CB5E6D" w14:textId="00B77C3D" w:rsidR="00BB63AB" w:rsidRDefault="00BB63AB" w:rsidP="00BB63AB">
      <w:pPr>
        <w:spacing w:before="100" w:beforeAutospacing="1" w:after="100" w:afterAutospacing="1"/>
        <w:contextualSpacing/>
        <w:jc w:val="both"/>
        <w:rPr>
          <w:rFonts w:ascii="Arial" w:hAnsi="Arial" w:cs="Arial"/>
          <w:lang w:val="en-US" w:eastAsia="en-US"/>
        </w:rPr>
      </w:pPr>
      <w:r>
        <w:rPr>
          <w:rFonts w:ascii="Arial" w:hAnsi="Arial" w:cs="Arial"/>
          <w:lang w:val="en-US" w:eastAsia="en-US"/>
        </w:rPr>
        <w:t>-Federalna uprava za inspekcijske poslove</w:t>
      </w:r>
    </w:p>
    <w:p w14:paraId="1A25E3A3" w14:textId="4209F731" w:rsidR="00BB63AB" w:rsidRDefault="00BB63AB" w:rsidP="00BB63AB">
      <w:pPr>
        <w:spacing w:before="100" w:beforeAutospacing="1" w:after="100" w:afterAutospacing="1"/>
        <w:contextualSpacing/>
        <w:jc w:val="both"/>
        <w:rPr>
          <w:rFonts w:ascii="Arial" w:hAnsi="Arial" w:cs="Arial"/>
          <w:lang w:val="en-US" w:eastAsia="en-US"/>
        </w:rPr>
      </w:pPr>
      <w:r>
        <w:rPr>
          <w:rFonts w:ascii="Arial" w:hAnsi="Arial" w:cs="Arial"/>
          <w:lang w:val="en-US" w:eastAsia="en-US"/>
        </w:rPr>
        <w:t>- Za sektor</w:t>
      </w:r>
    </w:p>
    <w:p w14:paraId="3F436A94" w14:textId="6D9BF082" w:rsidR="00BB63AB" w:rsidRDefault="00BB63AB" w:rsidP="00BB63AB">
      <w:pPr>
        <w:spacing w:before="100" w:beforeAutospacing="1" w:after="100" w:afterAutospacing="1"/>
        <w:contextualSpacing/>
        <w:jc w:val="both"/>
        <w:rPr>
          <w:rFonts w:ascii="Arial" w:hAnsi="Arial" w:cs="Arial"/>
          <w:lang w:val="en-US" w:eastAsia="en-US"/>
        </w:rPr>
      </w:pPr>
      <w:r>
        <w:rPr>
          <w:rFonts w:ascii="Arial" w:hAnsi="Arial" w:cs="Arial"/>
          <w:lang w:val="en-US" w:eastAsia="en-US"/>
        </w:rPr>
        <w:t xml:space="preserve">- Arhivi </w:t>
      </w:r>
    </w:p>
    <w:p w14:paraId="06D6E96B" w14:textId="0D1F316B" w:rsidR="00BB63AB" w:rsidRDefault="00BB63AB" w:rsidP="00BB63AB">
      <w:pPr>
        <w:spacing w:before="100" w:beforeAutospacing="1" w:after="100" w:afterAutospacing="1"/>
        <w:contextualSpacing/>
        <w:jc w:val="both"/>
        <w:rPr>
          <w:rFonts w:ascii="Arial" w:hAnsi="Arial" w:cs="Arial"/>
          <w:lang w:val="en-US" w:eastAsia="en-US"/>
        </w:rPr>
      </w:pPr>
    </w:p>
    <w:p w14:paraId="2794A8E2" w14:textId="70F35904" w:rsidR="00BB63AB" w:rsidRDefault="00BB63AB" w:rsidP="00BB63AB">
      <w:pPr>
        <w:spacing w:before="100" w:beforeAutospacing="1" w:after="100" w:afterAutospacing="1"/>
        <w:jc w:val="both"/>
        <w:rPr>
          <w:rFonts w:ascii="Arial" w:hAnsi="Arial" w:cs="Arial"/>
          <w:lang w:val="en-US" w:eastAsia="en-US"/>
        </w:rPr>
      </w:pPr>
    </w:p>
    <w:p w14:paraId="1DB3FFA2" w14:textId="77777777" w:rsidR="00BB63AB" w:rsidRDefault="00BB63AB" w:rsidP="00E477F6">
      <w:pPr>
        <w:spacing w:before="100" w:beforeAutospacing="1" w:after="100" w:afterAutospacing="1"/>
        <w:jc w:val="both"/>
        <w:rPr>
          <w:rFonts w:ascii="Arial" w:hAnsi="Arial" w:cs="Arial"/>
          <w:lang w:val="en-US" w:eastAsia="en-US"/>
        </w:rPr>
      </w:pPr>
    </w:p>
    <w:p w14:paraId="439CA79F" w14:textId="77777777" w:rsidR="00BB63AB" w:rsidRPr="00705DDB" w:rsidRDefault="00BB63AB" w:rsidP="00E477F6">
      <w:pPr>
        <w:spacing w:before="100" w:beforeAutospacing="1" w:after="100" w:afterAutospacing="1"/>
        <w:jc w:val="both"/>
        <w:rPr>
          <w:rFonts w:ascii="Arial" w:hAnsi="Arial" w:cs="Arial"/>
          <w:lang w:val="en-US" w:eastAsia="en-US"/>
        </w:rPr>
      </w:pPr>
    </w:p>
    <w:p w14:paraId="30165244" w14:textId="77777777" w:rsidR="008937C0" w:rsidRPr="00B319A5" w:rsidRDefault="008937C0" w:rsidP="00E477F6">
      <w:pPr>
        <w:spacing w:before="100" w:beforeAutospacing="1" w:after="100" w:afterAutospacing="1"/>
        <w:jc w:val="both"/>
        <w:rPr>
          <w:rFonts w:ascii="Arial" w:hAnsi="Arial" w:cs="Arial"/>
          <w:b/>
          <w:lang w:val="en-US" w:eastAsia="en-US"/>
        </w:rPr>
      </w:pPr>
    </w:p>
    <w:p w14:paraId="707E845E" w14:textId="77777777" w:rsidR="00B319A5" w:rsidRPr="00F974C2" w:rsidRDefault="00B319A5" w:rsidP="00E477F6">
      <w:pPr>
        <w:spacing w:before="100" w:beforeAutospacing="1" w:after="100" w:afterAutospacing="1"/>
        <w:jc w:val="both"/>
        <w:rPr>
          <w:rFonts w:ascii="Arial" w:hAnsi="Arial" w:cs="Arial"/>
          <w:lang w:val="en-US" w:eastAsia="en-US"/>
        </w:rPr>
      </w:pPr>
    </w:p>
    <w:p w14:paraId="775A9412" w14:textId="77777777" w:rsidR="00097849" w:rsidRDefault="00097849" w:rsidP="00E477F6">
      <w:pPr>
        <w:spacing w:before="100" w:beforeAutospacing="1" w:after="100" w:afterAutospacing="1"/>
        <w:jc w:val="both"/>
        <w:rPr>
          <w:rFonts w:ascii="Arial" w:hAnsi="Arial" w:cs="Arial"/>
          <w:lang w:val="en-US" w:eastAsia="en-US"/>
        </w:rPr>
      </w:pPr>
    </w:p>
    <w:p w14:paraId="4497B17B" w14:textId="77777777" w:rsidR="00D734EC" w:rsidRDefault="00D734EC" w:rsidP="00E477F6">
      <w:pPr>
        <w:spacing w:before="100" w:beforeAutospacing="1" w:after="100" w:afterAutospacing="1"/>
        <w:jc w:val="both"/>
        <w:rPr>
          <w:rFonts w:ascii="Arial" w:hAnsi="Arial" w:cs="Arial"/>
          <w:lang w:val="en-US" w:eastAsia="en-US"/>
        </w:rPr>
      </w:pPr>
    </w:p>
    <w:p w14:paraId="3366952F" w14:textId="77777777" w:rsidR="00D734EC" w:rsidRPr="00E477F6" w:rsidRDefault="00D734EC" w:rsidP="00E477F6">
      <w:pPr>
        <w:spacing w:before="100" w:beforeAutospacing="1" w:after="100" w:afterAutospacing="1"/>
        <w:jc w:val="both"/>
        <w:rPr>
          <w:rFonts w:ascii="Arial" w:hAnsi="Arial" w:cs="Arial"/>
          <w:lang w:val="en-US" w:eastAsia="en-US"/>
        </w:rPr>
      </w:pPr>
    </w:p>
    <w:p w14:paraId="7F350FC6" w14:textId="77777777" w:rsidR="00A32DA8" w:rsidRPr="00E477F6" w:rsidRDefault="00A32DA8" w:rsidP="00EC1E87">
      <w:pPr>
        <w:jc w:val="both"/>
        <w:rPr>
          <w:rFonts w:ascii="Arial" w:hAnsi="Arial" w:cs="Arial"/>
        </w:rPr>
      </w:pPr>
    </w:p>
    <w:p w14:paraId="1731994B" w14:textId="77777777" w:rsidR="00A32DA8" w:rsidRPr="00E477F6" w:rsidRDefault="00A32DA8" w:rsidP="00EC1E87">
      <w:pPr>
        <w:jc w:val="both"/>
        <w:rPr>
          <w:rFonts w:ascii="Arial" w:hAnsi="Arial" w:cs="Arial"/>
          <w:b/>
        </w:rPr>
      </w:pPr>
    </w:p>
    <w:p w14:paraId="7D60970C" w14:textId="77777777" w:rsidR="00380E8F" w:rsidRPr="00E477F6" w:rsidRDefault="00380E8F" w:rsidP="00EC1E87">
      <w:pPr>
        <w:jc w:val="both"/>
        <w:rPr>
          <w:rFonts w:ascii="Arial" w:hAnsi="Arial" w:cs="Arial"/>
        </w:rPr>
      </w:pPr>
    </w:p>
    <w:p w14:paraId="29DFC621" w14:textId="77777777" w:rsidR="005062EF" w:rsidRPr="00C60764" w:rsidRDefault="005062EF" w:rsidP="005062EF">
      <w:pPr>
        <w:pStyle w:val="Default"/>
        <w:rPr>
          <w:rFonts w:ascii="Arial" w:hAnsi="Arial" w:cs="Arial"/>
        </w:rPr>
      </w:pPr>
    </w:p>
    <w:p w14:paraId="08C0A54D" w14:textId="77777777" w:rsidR="00DC2995" w:rsidRPr="00C60764" w:rsidRDefault="00DC2995" w:rsidP="00127CCB">
      <w:pPr>
        <w:pStyle w:val="Default"/>
        <w:ind w:left="360"/>
        <w:rPr>
          <w:rFonts w:ascii="Arial" w:hAnsi="Arial" w:cs="Arial"/>
        </w:rPr>
      </w:pPr>
    </w:p>
    <w:p w14:paraId="61922F1F" w14:textId="77777777" w:rsidR="00DC2995" w:rsidRPr="00C60764" w:rsidRDefault="00DC2995" w:rsidP="00DC2995">
      <w:pPr>
        <w:pStyle w:val="Default"/>
        <w:ind w:left="360"/>
        <w:jc w:val="both"/>
        <w:rPr>
          <w:rFonts w:ascii="Arial" w:hAnsi="Arial" w:cs="Arial"/>
        </w:rPr>
      </w:pPr>
    </w:p>
    <w:p w14:paraId="4026A249" w14:textId="77777777" w:rsidR="00554037" w:rsidRPr="00C60764" w:rsidRDefault="00554037" w:rsidP="00554037">
      <w:pPr>
        <w:ind w:left="23"/>
        <w:rPr>
          <w:rFonts w:ascii="Arial" w:hAnsi="Arial" w:cs="Arial"/>
          <w:lang w:val="en-US" w:eastAsia="en-US"/>
        </w:rPr>
      </w:pPr>
    </w:p>
    <w:p w14:paraId="252CA52F" w14:textId="77777777" w:rsidR="00554037" w:rsidRPr="00554037" w:rsidRDefault="00554037" w:rsidP="0068665B">
      <w:pPr>
        <w:ind w:left="23"/>
        <w:rPr>
          <w:rFonts w:ascii="Arial" w:hAnsi="Arial" w:cs="Arial"/>
          <w:lang w:val="en-US" w:eastAsia="en-US"/>
        </w:rPr>
      </w:pPr>
    </w:p>
    <w:sectPr w:rsidR="00554037" w:rsidRPr="00554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8D4"/>
    <w:multiLevelType w:val="hybridMultilevel"/>
    <w:tmpl w:val="8C12F7E2"/>
    <w:lvl w:ilvl="0" w:tplc="873EC73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4FD"/>
    <w:multiLevelType w:val="hybridMultilevel"/>
    <w:tmpl w:val="4B4024E6"/>
    <w:lvl w:ilvl="0" w:tplc="A6FEE348">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2F319C6"/>
    <w:multiLevelType w:val="hybridMultilevel"/>
    <w:tmpl w:val="1386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E4834"/>
    <w:multiLevelType w:val="hybridMultilevel"/>
    <w:tmpl w:val="73C60B60"/>
    <w:lvl w:ilvl="0" w:tplc="4816D3E2">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29178E"/>
    <w:multiLevelType w:val="hybridMultilevel"/>
    <w:tmpl w:val="5088C6C8"/>
    <w:lvl w:ilvl="0" w:tplc="F20650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E1"/>
    <w:rsid w:val="000305AA"/>
    <w:rsid w:val="00044007"/>
    <w:rsid w:val="0005528A"/>
    <w:rsid w:val="00074B99"/>
    <w:rsid w:val="00091B33"/>
    <w:rsid w:val="00097849"/>
    <w:rsid w:val="00120742"/>
    <w:rsid w:val="00121446"/>
    <w:rsid w:val="00126C66"/>
    <w:rsid w:val="00127CCB"/>
    <w:rsid w:val="0015075E"/>
    <w:rsid w:val="00154A37"/>
    <w:rsid w:val="00157BB0"/>
    <w:rsid w:val="001C5A48"/>
    <w:rsid w:val="002F344C"/>
    <w:rsid w:val="00380E8F"/>
    <w:rsid w:val="003976B3"/>
    <w:rsid w:val="00423639"/>
    <w:rsid w:val="004C4A73"/>
    <w:rsid w:val="004E71BE"/>
    <w:rsid w:val="0050386A"/>
    <w:rsid w:val="005062EF"/>
    <w:rsid w:val="00527FE1"/>
    <w:rsid w:val="00540394"/>
    <w:rsid w:val="0054617E"/>
    <w:rsid w:val="00554037"/>
    <w:rsid w:val="00570475"/>
    <w:rsid w:val="00590604"/>
    <w:rsid w:val="0060733D"/>
    <w:rsid w:val="0064571C"/>
    <w:rsid w:val="0068665B"/>
    <w:rsid w:val="006C3336"/>
    <w:rsid w:val="006D6B19"/>
    <w:rsid w:val="006F285D"/>
    <w:rsid w:val="00705DDB"/>
    <w:rsid w:val="00725905"/>
    <w:rsid w:val="007864D3"/>
    <w:rsid w:val="00856197"/>
    <w:rsid w:val="008937C0"/>
    <w:rsid w:val="008C5EBD"/>
    <w:rsid w:val="0090238E"/>
    <w:rsid w:val="00941C50"/>
    <w:rsid w:val="009471E6"/>
    <w:rsid w:val="009746E9"/>
    <w:rsid w:val="009B75D1"/>
    <w:rsid w:val="00A10558"/>
    <w:rsid w:val="00A32DA8"/>
    <w:rsid w:val="00A661A7"/>
    <w:rsid w:val="00A952BB"/>
    <w:rsid w:val="00B319A5"/>
    <w:rsid w:val="00B4585F"/>
    <w:rsid w:val="00BB63AB"/>
    <w:rsid w:val="00BD3D63"/>
    <w:rsid w:val="00C24658"/>
    <w:rsid w:val="00C332F8"/>
    <w:rsid w:val="00C60764"/>
    <w:rsid w:val="00CA640B"/>
    <w:rsid w:val="00D06989"/>
    <w:rsid w:val="00D35BB3"/>
    <w:rsid w:val="00D734EC"/>
    <w:rsid w:val="00D7776E"/>
    <w:rsid w:val="00DB4F74"/>
    <w:rsid w:val="00DC2995"/>
    <w:rsid w:val="00E10593"/>
    <w:rsid w:val="00E477F6"/>
    <w:rsid w:val="00EA2B41"/>
    <w:rsid w:val="00EC1E87"/>
    <w:rsid w:val="00F048B0"/>
    <w:rsid w:val="00F110B3"/>
    <w:rsid w:val="00F4103F"/>
    <w:rsid w:val="00F61A3E"/>
    <w:rsid w:val="00F974C2"/>
    <w:rsid w:val="00FB595C"/>
    <w:rsid w:val="00F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BC2E"/>
  <w15:chartTrackingRefBased/>
  <w15:docId w15:val="{C6699314-D8A1-4B12-A4E4-F7C33CA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E1"/>
    <w:pPr>
      <w:spacing w:after="0" w:line="240" w:lineRule="auto"/>
    </w:pPr>
    <w:rPr>
      <w:rFonts w:ascii="Times New Roman" w:eastAsia="Times New Roman" w:hAnsi="Times New Roman" w:cs="Times New Roman"/>
      <w:sz w:val="24"/>
      <w:szCs w:val="24"/>
      <w:lang w:val="hr-HR" w:eastAsia="hr-HR"/>
    </w:rPr>
  </w:style>
  <w:style w:type="paragraph" w:styleId="Heading3">
    <w:name w:val="heading 3"/>
    <w:basedOn w:val="Normal"/>
    <w:next w:val="Normal"/>
    <w:link w:val="Heading3Char"/>
    <w:qFormat/>
    <w:rsid w:val="00527FE1"/>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7FE1"/>
    <w:rPr>
      <w:rFonts w:ascii="Arial" w:eastAsia="Times New Roman" w:hAnsi="Arial" w:cs="Times New Roman"/>
      <w:b/>
      <w:sz w:val="18"/>
      <w:szCs w:val="24"/>
      <w:lang w:val="hr-HR"/>
    </w:rPr>
  </w:style>
  <w:style w:type="paragraph" w:customStyle="1" w:styleId="Default">
    <w:name w:val="Default"/>
    <w:rsid w:val="00554037"/>
    <w:pPr>
      <w:autoSpaceDE w:val="0"/>
      <w:autoSpaceDN w:val="0"/>
      <w:adjustRightInd w:val="0"/>
      <w:spacing w:after="0" w:line="240" w:lineRule="auto"/>
    </w:pPr>
    <w:rPr>
      <w:rFonts w:ascii="Times New Roman" w:eastAsia="SimSun" w:hAnsi="Times New Roman" w:cs="Times New Roman"/>
      <w:color w:val="000000"/>
      <w:sz w:val="24"/>
      <w:szCs w:val="24"/>
      <w:lang w:val="hr-HR" w:eastAsia="zh-CN"/>
    </w:rPr>
  </w:style>
  <w:style w:type="paragraph" w:styleId="NoSpacing">
    <w:name w:val="No Spacing"/>
    <w:uiPriority w:val="1"/>
    <w:qFormat/>
    <w:rsid w:val="00127CCB"/>
    <w:pPr>
      <w:spacing w:after="0" w:line="240" w:lineRule="auto"/>
    </w:pPr>
    <w:rPr>
      <w:rFonts w:ascii="Calibri" w:eastAsia="Times New Roman" w:hAnsi="Calibri" w:cs="Times New Roman"/>
    </w:rPr>
  </w:style>
  <w:style w:type="paragraph" w:styleId="ListParagraph">
    <w:name w:val="List Paragraph"/>
    <w:basedOn w:val="Normal"/>
    <w:uiPriority w:val="34"/>
    <w:qFormat/>
    <w:rsid w:val="00EC1E87"/>
    <w:pPr>
      <w:ind w:left="720"/>
      <w:contextualSpacing/>
    </w:pPr>
  </w:style>
  <w:style w:type="character" w:styleId="Hyperlink">
    <w:name w:val="Hyperlink"/>
    <w:basedOn w:val="DefaultParagraphFont"/>
    <w:uiPriority w:val="99"/>
    <w:unhideWhenUsed/>
    <w:rsid w:val="006D6B19"/>
    <w:rPr>
      <w:color w:val="0563C1" w:themeColor="hyperlink"/>
      <w:u w:val="single"/>
    </w:rPr>
  </w:style>
  <w:style w:type="paragraph" w:styleId="BalloonText">
    <w:name w:val="Balloon Text"/>
    <w:basedOn w:val="Normal"/>
    <w:link w:val="BalloonTextChar"/>
    <w:uiPriority w:val="99"/>
    <w:semiHidden/>
    <w:unhideWhenUsed/>
    <w:rsid w:val="00044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07"/>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68150">
      <w:bodyDiv w:val="1"/>
      <w:marLeft w:val="0"/>
      <w:marRight w:val="0"/>
      <w:marTop w:val="0"/>
      <w:marBottom w:val="0"/>
      <w:divBdr>
        <w:top w:val="none" w:sz="0" w:space="0" w:color="auto"/>
        <w:left w:val="none" w:sz="0" w:space="0" w:color="auto"/>
        <w:bottom w:val="none" w:sz="0" w:space="0" w:color="auto"/>
        <w:right w:val="none" w:sz="0" w:space="0" w:color="auto"/>
      </w:divBdr>
    </w:div>
    <w:div w:id="17760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moit.gov.ba/okoli&#353;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Sokolovic</dc:creator>
  <cp:keywords/>
  <dc:description/>
  <cp:lastModifiedBy>Ivona Sokolovic</cp:lastModifiedBy>
  <cp:revision>3</cp:revision>
  <cp:lastPrinted>2025-05-12T06:37:00Z</cp:lastPrinted>
  <dcterms:created xsi:type="dcterms:W3CDTF">2025-05-12T06:36:00Z</dcterms:created>
  <dcterms:modified xsi:type="dcterms:W3CDTF">2025-05-12T06:40:00Z</dcterms:modified>
</cp:coreProperties>
</file>