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F9" w:rsidRDefault="00D35638" w:rsidP="001008F9">
      <w:pPr>
        <w:pStyle w:val="Subtitle"/>
        <w:rPr>
          <w:rStyle w:val="Title1"/>
          <w:b/>
        </w:rPr>
      </w:pPr>
      <w:bookmarkStart w:id="0" w:name="_Toc265428023"/>
      <w:bookmarkStart w:id="1" w:name="_Toc265427541"/>
      <w:bookmarkStart w:id="2" w:name="_Toc265426732"/>
      <w:bookmarkStart w:id="3" w:name="_Toc264883910"/>
      <w:bookmarkStart w:id="4" w:name="_Toc400713129"/>
      <w:r w:rsidRPr="001008F9">
        <w:rPr>
          <w:rStyle w:val="Title1"/>
          <w:b/>
        </w:rPr>
        <w:t>ANEKS I: LISTA INSTRUMENATA PRAVNE STEČEVINE EU U OBLASTI ZAŠTITE OKOLIŠA/</w:t>
      </w:r>
    </w:p>
    <w:p w:rsidR="00D35638" w:rsidRPr="001008F9" w:rsidRDefault="00D35638" w:rsidP="001008F9">
      <w:pPr>
        <w:pStyle w:val="Subtitle"/>
        <w:rPr>
          <w:rStyle w:val="Title1"/>
          <w:b/>
        </w:rPr>
      </w:pPr>
      <w:bookmarkStart w:id="5" w:name="_GoBack"/>
      <w:bookmarkEnd w:id="5"/>
      <w:r w:rsidRPr="001008F9">
        <w:rPr>
          <w:rStyle w:val="Title1"/>
          <w:b/>
        </w:rPr>
        <w:t>ŽIVOTNE SREDINE</w:t>
      </w:r>
      <w:bookmarkEnd w:id="0"/>
      <w:bookmarkEnd w:id="1"/>
      <w:bookmarkEnd w:id="2"/>
      <w:bookmarkEnd w:id="3"/>
      <w:bookmarkEnd w:id="4"/>
    </w:p>
    <w:p w:rsidR="00D35638" w:rsidRPr="005D4B38" w:rsidRDefault="00D35638" w:rsidP="00D35638">
      <w:pPr>
        <w:pStyle w:val="Heading2"/>
        <w:numPr>
          <w:ilvl w:val="0"/>
          <w:numId w:val="0"/>
        </w:numPr>
        <w:rPr>
          <w:rStyle w:val="Title1"/>
        </w:rPr>
      </w:pPr>
      <w:bookmarkStart w:id="6" w:name="_Toc265428024"/>
      <w:bookmarkStart w:id="7" w:name="_Toc265427542"/>
      <w:bookmarkStart w:id="8" w:name="_Toc265426733"/>
      <w:bookmarkStart w:id="9" w:name="_Toc264883911"/>
      <w:bookmarkStart w:id="10" w:name="_Toc400713130"/>
      <w:r w:rsidRPr="005D4B38">
        <w:rPr>
          <w:rStyle w:val="Title1"/>
        </w:rPr>
        <w:t>HORIZONTALNI PROPISI</w:t>
      </w:r>
      <w:bookmarkEnd w:id="6"/>
      <w:bookmarkEnd w:id="7"/>
      <w:bookmarkEnd w:id="8"/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12315"/>
      </w:tblGrid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 w:hanging="18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color w:val="000000"/>
                <w:lang w:val="hr-HR"/>
              </w:rPr>
              <w:t>Direktiva 2001/42/EZ Evropskog parlamenta i Savjeta od 27. juna 2001. godine o procjeni uticaja određenih planova i programa na okoliš/životnu sredinu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 w:hanging="18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2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8" w:rsidRPr="005D4B38" w:rsidRDefault="00D35638" w:rsidP="00397C02">
            <w:pPr>
              <w:jc w:val="left"/>
              <w:rPr>
                <w:lang w:val="hr-HR"/>
              </w:rPr>
            </w:pPr>
            <w:r w:rsidRPr="005D4B38">
              <w:rPr>
                <w:lang w:val="hr-HR"/>
              </w:rPr>
              <w:t>Direktiva 2011/92/EU Evropskog parlamenta i Savjeta od 13. decembra 2011. godine o procjeni uticaja određenih javnih i privatnih projekata na okoliš/životnu sredinu (čime je kodifikovana Direktiva Savjeta od 27. juna 1985. godine o procjeni uticaja određenih javnih i privatnih projekata na okoliš/životnu sredinu, koja je izmijenjena Direktivom Savjeta 97/11/EZ, Direktivom 2003/35/EZ i Direktivom 2009/31/EZ), uz izmjene i dopune Direktivom 2014/52/EU Evropskog parlamenta i Savjeta od 16. aprila 2014. godine, kojom se mijenja i dopunjava Direktiva 2011/92/EU o procjeni uticaja određenih javnih i privatnih projekata na okoliš/životnu sredinu</w:t>
            </w:r>
          </w:p>
          <w:p w:rsidR="00D35638" w:rsidRPr="005D4B38" w:rsidRDefault="00D35638" w:rsidP="00397C02">
            <w:pPr>
              <w:jc w:val="left"/>
              <w:rPr>
                <w:rFonts w:cs="Arial"/>
                <w:lang w:val="hr-HR"/>
              </w:rPr>
            </w:pP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 w:hanging="18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3.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color w:val="000000"/>
                <w:lang w:val="hr-HR"/>
              </w:rPr>
              <w:t>Direktiva 2003/4/EZ Evropskog parlamenta i Savjeta od 28. januara 2003. godine o javnom pristupu informacijama o okolišu/životnoj sredini i opozivu Direktive Savjeta 90/313/EEZ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 w:hanging="18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4.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color w:val="000000"/>
                <w:lang w:val="hr-HR"/>
              </w:rPr>
              <w:t>Direktiva 2003/35/EZ Evropskog parlamenta i Savjeta od 26. maja 2003. godine o omogućavanju učešća javnosti u izradi određenih planova i programa vezanih za okoliš / životnu sredinu i koja mijenja, vezano za učešće javnosti i pristup pravosuđu, direktive Savjeta 85/337/EEZ i 96/61/EZ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spacing w:before="12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5.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Cs/>
                <w:color w:val="000000"/>
                <w:lang w:val="hr-HR"/>
              </w:rPr>
            </w:pPr>
            <w:r w:rsidRPr="005D4B38">
              <w:rPr>
                <w:rFonts w:cs="Arial"/>
                <w:color w:val="000000"/>
                <w:lang w:val="hr-HR"/>
              </w:rPr>
              <w:t>Direktiva 2004/35/EZ Evropskog parlamenta i Savjeta od 21. aprila 2004. godine o odgovornosti za okoliš/životnu sredinu u smislu prevencije i otklanjanja ekoloških šteta, izmijenjene Direktivom 2006/21/EZ Evropskog parlamenta i Savjeta od 15. marta 2006. godine o upravljanju otpadom u ekstrakcijskim industrijama i Direktivom 2009/31/EZ Evropskog parlamenta i Savjeta od 23. aprila 2009. godine o geološkom skladištenju ugljen dioksida, i Direktivom 2013/30/EU Evropskog parlamenta i Savjeta od 12. juna 2013. godine o bezbjednosti offshore i naftnih operacija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 w:hanging="18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6.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color w:val="000000"/>
                <w:lang w:val="hr-HR"/>
              </w:rPr>
              <w:t>Direktiva</w:t>
            </w:r>
            <w:r w:rsidRPr="005D4B38">
              <w:rPr>
                <w:rFonts w:cs="Arial"/>
                <w:lang w:val="hr-HR"/>
              </w:rPr>
              <w:t xml:space="preserve"> 2007/2/EZ </w:t>
            </w:r>
            <w:r w:rsidRPr="005D4B38">
              <w:rPr>
                <w:rFonts w:cs="Arial"/>
                <w:color w:val="000000"/>
                <w:lang w:val="hr-HR"/>
              </w:rPr>
              <w:t xml:space="preserve">Evropskog parlamenta i Savjeta </w:t>
            </w:r>
            <w:r w:rsidRPr="005D4B38">
              <w:rPr>
                <w:rFonts w:cs="Arial"/>
                <w:lang w:val="hr-HR"/>
              </w:rPr>
              <w:t>od 14. marta 2007. godine kojom se uspostavlja Infrastuktura za informisanje o prostornom planiranju (INSPIRE)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 w:hanging="18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7.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color w:val="000000"/>
                <w:lang w:val="hr-HR"/>
              </w:rPr>
              <w:t>Direktiva</w:t>
            </w:r>
            <w:r w:rsidRPr="005D4B38">
              <w:rPr>
                <w:rFonts w:cs="Arial"/>
                <w:lang w:val="hr-HR"/>
              </w:rPr>
              <w:t xml:space="preserve"> 2008/99/EZ </w:t>
            </w:r>
            <w:r w:rsidRPr="005D4B38">
              <w:rPr>
                <w:rFonts w:cs="Arial"/>
                <w:color w:val="000000"/>
                <w:lang w:val="hr-HR"/>
              </w:rPr>
              <w:t>Evropskog parlamenta i Savjeta</w:t>
            </w:r>
            <w:r w:rsidRPr="005D4B38">
              <w:rPr>
                <w:rFonts w:cs="Arial"/>
                <w:lang w:val="hr-HR"/>
              </w:rPr>
              <w:t xml:space="preserve"> od 19. novembra 2008. godine o zaštiti okoliša / životne sredine kroz krivično pravo (tekst relevantan za EEA)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 w:hanging="18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lastRenderedPageBreak/>
              <w:t>8.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Cs/>
                <w:color w:val="000000"/>
                <w:lang w:val="hr-HR"/>
              </w:rPr>
            </w:pPr>
            <w:r w:rsidRPr="005D4B38">
              <w:rPr>
                <w:rFonts w:cs="Arial"/>
                <w:color w:val="000000"/>
                <w:lang w:val="hr-HR"/>
              </w:rPr>
              <w:t xml:space="preserve">Uredba (EU) br. 1293/2013 Evropskog parlamenta i Savjeta od 11. decembra 2013. godine o uspostavljanju Programa za ekološku i klimatsku akciju (LIFE) i  opozivu Uredbe (EZ) br. 614/2007 - </w:t>
            </w:r>
            <w:r w:rsidRPr="005D4B38">
              <w:rPr>
                <w:rFonts w:cs="Arial"/>
                <w:b/>
                <w:bCs/>
                <w:color w:val="000000"/>
                <w:lang w:val="hr-HR"/>
              </w:rPr>
              <w:t>LIFE uredba</w:t>
            </w:r>
          </w:p>
        </w:tc>
      </w:tr>
    </w:tbl>
    <w:p w:rsidR="00D35638" w:rsidRPr="005D4B38" w:rsidRDefault="00D35638" w:rsidP="00D35638">
      <w:pPr>
        <w:pStyle w:val="Heading2"/>
        <w:numPr>
          <w:ilvl w:val="0"/>
          <w:numId w:val="0"/>
        </w:numPr>
        <w:rPr>
          <w:rStyle w:val="Title1"/>
        </w:rPr>
      </w:pPr>
      <w:bookmarkStart w:id="11" w:name="_Toc265428025"/>
      <w:bookmarkStart w:id="12" w:name="_Toc265427543"/>
      <w:bookmarkStart w:id="13" w:name="_Toc265426734"/>
      <w:bookmarkStart w:id="14" w:name="_Toc264883912"/>
      <w:bookmarkStart w:id="15" w:name="_Toc400713131"/>
      <w:r w:rsidRPr="005D4B38">
        <w:rPr>
          <w:rStyle w:val="Title1"/>
        </w:rPr>
        <w:t>UPRAVLJANJE VODAMA</w:t>
      </w:r>
      <w:bookmarkEnd w:id="11"/>
      <w:bookmarkEnd w:id="12"/>
      <w:bookmarkEnd w:id="13"/>
      <w:bookmarkEnd w:id="14"/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12315"/>
      </w:tblGrid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2000/60/EZ Evropskog parlamenta i Savjeta od 23. oktobra 2000. godine o uspostavljanju okvira za akciju Zajednice u oblasti vodne politike, sa zadnjim izmjenama u Direktivi 2009/31/EZ Evropskog parlamenta i Savjeta od 23. aprila 2009. godine - </w:t>
            </w:r>
            <w:r w:rsidRPr="005D4B38">
              <w:rPr>
                <w:rFonts w:cs="Arial"/>
                <w:b/>
                <w:bCs/>
                <w:lang w:val="hr-HR"/>
              </w:rPr>
              <w:t>DVO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2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8" w:rsidRPr="005D4B38" w:rsidRDefault="00D35638" w:rsidP="00397C0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Savjeta 91/271/EEZ od 21. maja 1991. godine o prečišćavanju urbanih otpadnih voda, posljednji put izmijenjena Direktivom (EZ) br. 1137/2008 Evropskog parlamenta i Savjeta od 22. oktobra 2008. godine - </w:t>
            </w:r>
            <w:r w:rsidRPr="005D4B38">
              <w:rPr>
                <w:rFonts w:cs="Arial"/>
                <w:b/>
                <w:bCs/>
                <w:lang w:val="hr-HR"/>
              </w:rPr>
              <w:t>UOV direktiva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3.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8" w:rsidRPr="005D4B38" w:rsidRDefault="00D35638" w:rsidP="00397C0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Savjeta 98/83/EZ od 3. novembra 1998. godine o kvalitetu vode namijenjene za ljudsku upotrebu, zadnji put izmijenjena Uredbom (EZ) br. 596/2009 Evropskog parlamenta i Savjeta od 18. juna 2009. godine - </w:t>
            </w:r>
            <w:r w:rsidRPr="005D4B38">
              <w:rPr>
                <w:rFonts w:cs="Arial"/>
                <w:b/>
                <w:bCs/>
                <w:lang w:val="hr-HR"/>
              </w:rPr>
              <w:t>PV direktiva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4.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8" w:rsidRPr="005D4B38" w:rsidRDefault="00D35638" w:rsidP="00397C0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Savjeta 91/676/EEZ od 12. decembra 1991. godine o zaštiti voda od zagađenja izazvanog nitratima iz poljoprivrednih izvora, sa zadnjim  izmjenama iz Uredbe (EZ) br. 1137/2008 Evropskog parlamenta i Savjeta od 22. oktobra 2008. godine - </w:t>
            </w:r>
            <w:r w:rsidRPr="005D4B38">
              <w:rPr>
                <w:rFonts w:cs="Arial"/>
                <w:b/>
                <w:bCs/>
                <w:lang w:val="hr-HR"/>
              </w:rPr>
              <w:t>Direktiva o nitratima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5.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8" w:rsidRPr="005D4B38" w:rsidRDefault="00D35638" w:rsidP="00397C0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highlight w:val="magenta"/>
                <w:lang w:val="hr-HR"/>
              </w:rPr>
            </w:pPr>
            <w:r w:rsidRPr="005D4B38">
              <w:rPr>
                <w:lang w:val="hr-HR"/>
              </w:rPr>
              <w:t>Direktiva 2006/118/EZ Evropskog parlamenta i Savjeta od 12. decembra 2006. godine o zaštiti podzemnih voda od zagađenja i degradacije</w:t>
            </w:r>
            <w:r w:rsidRPr="005D4B38">
              <w:rPr>
                <w:rStyle w:val="FootnoteReference"/>
                <w:lang w:val="hr-HR"/>
              </w:rPr>
              <w:footnoteReference w:id="1"/>
            </w:r>
            <w:r w:rsidRPr="005D4B38">
              <w:rPr>
                <w:lang w:val="hr-HR"/>
              </w:rPr>
              <w:t xml:space="preserve"> - </w:t>
            </w:r>
            <w:r w:rsidRPr="005D4B38">
              <w:rPr>
                <w:b/>
                <w:bCs/>
                <w:lang w:val="hr-HR"/>
              </w:rPr>
              <w:t>Direktiva o podzemnim vodama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6.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8" w:rsidRPr="005D4B38" w:rsidRDefault="00D35638" w:rsidP="00397C0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2006/7/EZ Evropskog parlamenta i Savjeta od 15. februara 2006. godine o upravljanju kvalitetom vode za kupanje i koja opoziva Direktivu 76/160/EEZ, posljednji put izmijenjena Uredbom (EZ) br. 596/2009 Evropskog parlamenta i Savjeta od 18. juna 2009. godine - </w:t>
            </w:r>
            <w:r w:rsidRPr="005D4B38">
              <w:rPr>
                <w:rFonts w:cs="Arial"/>
                <w:b/>
                <w:bCs/>
                <w:lang w:val="hr-HR"/>
              </w:rPr>
              <w:t>Direktiva o vodi za kupanje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7.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8" w:rsidRPr="005D4B38" w:rsidRDefault="00D35638" w:rsidP="00397C0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Cs/>
                <w:highlight w:val="magenta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2006/44EC Evropskog parlamenta i Savjeta od 6. septembra 2006. godine o kvalitetu slatkih voda kojima je potrebna zaštita kako bi mogle podržavati život riba (kodifikovana verzija koja zamjenjuje i opoziva Direktivu Savjeta 78/659/EZ o kvalitetu slatkih voda kojima je potrebna zaštita kako bi mogle podržavati život riba, izmijenjena Uredbom (EZ) br. 1137/2008 Evropskog parlamenta i Savjeta od 22. oktobra 2008. godine) - </w:t>
            </w:r>
            <w:r w:rsidRPr="005D4B38">
              <w:rPr>
                <w:rFonts w:cs="Arial"/>
                <w:b/>
                <w:bCs/>
                <w:lang w:val="hr-HR"/>
              </w:rPr>
              <w:t>Direktiva o vodama za slatkovodne ribe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lastRenderedPageBreak/>
              <w:t>8.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8" w:rsidRPr="005D4B38" w:rsidRDefault="00D35638" w:rsidP="00397C0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2007/60/EZ Evropskog parlamenta i Savjeta od 23. oktobra 2007. godine o procjeni i upravljanju rizikom od poplava - </w:t>
            </w:r>
            <w:r w:rsidRPr="005D4B38">
              <w:rPr>
                <w:rFonts w:cs="Arial"/>
                <w:b/>
                <w:bCs/>
                <w:lang w:val="hr-HR"/>
              </w:rPr>
              <w:t>Direktiva o riziku od poplava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9.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8" w:rsidRPr="005D4B38" w:rsidRDefault="00D35638" w:rsidP="00397C0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Komisije 2009/90/EZ od 31. jula 2009. godine koja propisuje, u skladu sa Direktivom 2000/60/EZ Evropskog parlamenta i Savjeta, tehničke specifikacije za hemijsku analizu i praćenje vodnog statusa - </w:t>
            </w:r>
            <w:r w:rsidRPr="005D4B38">
              <w:rPr>
                <w:rFonts w:cs="Arial"/>
                <w:b/>
                <w:bCs/>
                <w:lang w:val="hr-HR"/>
              </w:rPr>
              <w:t>Praćenje stanja voda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10.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8" w:rsidRPr="005D4B38" w:rsidRDefault="00D35638" w:rsidP="00397C0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2008/105/EZ Evropskog parlamenta i Savjeta od 16. decembra 2008. godine o standardima kvaliteta okoliša/životne sredine u oblasti vodne politike, koja izmjenjuje i kasnije opoziva Direktive Savjeta 82/176/EEZ, 83/513/EEZ, 84/156/EEZ, 84/491/EEZ, 86/280/EEZ i izmjenjuje Direktivu 2000/60/EZ Evropskog parlamenta i Savjeta - </w:t>
            </w:r>
            <w:r w:rsidRPr="005D4B38">
              <w:rPr>
                <w:rFonts w:cs="Arial"/>
                <w:b/>
                <w:bCs/>
                <w:lang w:val="hr-HR"/>
              </w:rPr>
              <w:t>Standardi kvaliteta okoliša/životne sredine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11.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8" w:rsidRPr="005D4B38" w:rsidRDefault="00D35638" w:rsidP="00397C0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Cs/>
                <w:color w:val="000000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2006/11/EZ Evropskog parlamenta i Savjeta od 15. februara 2006. godine o zagađenju uzrokovanom pojedinim opasnim materijama ispuštenim u mora u Zajednici – </w:t>
            </w:r>
            <w:r w:rsidRPr="005D4B38">
              <w:rPr>
                <w:rFonts w:cs="Arial"/>
                <w:b/>
                <w:bCs/>
                <w:lang w:val="hr-HR"/>
              </w:rPr>
              <w:t>Ispuštanje opasnih materija</w:t>
            </w:r>
          </w:p>
        </w:tc>
      </w:tr>
    </w:tbl>
    <w:p w:rsidR="00D35638" w:rsidRPr="005D4B38" w:rsidRDefault="00D35638" w:rsidP="00D35638">
      <w:pPr>
        <w:pStyle w:val="Heading2"/>
        <w:numPr>
          <w:ilvl w:val="0"/>
          <w:numId w:val="0"/>
        </w:numPr>
        <w:rPr>
          <w:rStyle w:val="Title1"/>
        </w:rPr>
      </w:pPr>
      <w:bookmarkStart w:id="16" w:name="_Toc265428026"/>
      <w:bookmarkStart w:id="17" w:name="_Toc265427544"/>
      <w:bookmarkStart w:id="18" w:name="_Toc265426735"/>
      <w:bookmarkStart w:id="19" w:name="_Toc264883913"/>
      <w:bookmarkStart w:id="20" w:name="_Toc400713132"/>
      <w:r w:rsidRPr="005D4B38">
        <w:rPr>
          <w:rStyle w:val="Title1"/>
        </w:rPr>
        <w:t>UPRAVLJANJE OTPADOM</w:t>
      </w:r>
      <w:bookmarkEnd w:id="16"/>
      <w:bookmarkEnd w:id="17"/>
      <w:bookmarkEnd w:id="18"/>
      <w:bookmarkEnd w:id="19"/>
      <w:bookmarkEnd w:id="20"/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12262"/>
      </w:tblGrid>
      <w:tr w:rsidR="00D35638" w:rsidRPr="005D4B38" w:rsidTr="00397C02">
        <w:trPr>
          <w:cantSplit/>
        </w:trPr>
        <w:tc>
          <w:tcPr>
            <w:tcW w:w="258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</w:t>
            </w:r>
          </w:p>
        </w:tc>
        <w:tc>
          <w:tcPr>
            <w:tcW w:w="4742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2008/98/EZ Evropskog parlamenta i Savjeta od 19. novembra 2008. godine o otpadu, koja opoziva određene direktive - </w:t>
            </w:r>
            <w:r w:rsidRPr="005D4B38">
              <w:rPr>
                <w:rFonts w:cs="Arial"/>
                <w:b/>
                <w:bCs/>
                <w:lang w:val="hr-HR"/>
              </w:rPr>
              <w:t>Okvirna direktiva o otpadu</w:t>
            </w:r>
          </w:p>
        </w:tc>
      </w:tr>
      <w:tr w:rsidR="00D35638" w:rsidRPr="005D4B38" w:rsidTr="00397C02">
        <w:trPr>
          <w:cantSplit/>
        </w:trPr>
        <w:tc>
          <w:tcPr>
            <w:tcW w:w="258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2</w:t>
            </w:r>
          </w:p>
        </w:tc>
        <w:tc>
          <w:tcPr>
            <w:tcW w:w="4742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Odluka Komisije 2000/532/EZ od 3. maja 2000. godine o definisanju liste otpada, sa izmjenama iz Odluke Komisije 2001/118/EZ od 16. januara 2001. godine, Odluke Komisije 2001/119/EZ od 22. januara 2001. godine i Odlukom Savjeta 2001/573/EZ od 23. jula 2001. godine - </w:t>
            </w:r>
            <w:r w:rsidRPr="005D4B38">
              <w:rPr>
                <w:rFonts w:cs="Arial"/>
                <w:b/>
                <w:bCs/>
                <w:lang w:val="hr-HR"/>
              </w:rPr>
              <w:t>Liste otpada</w:t>
            </w:r>
          </w:p>
        </w:tc>
      </w:tr>
      <w:tr w:rsidR="00D35638" w:rsidRPr="005D4B38" w:rsidTr="00397C02">
        <w:trPr>
          <w:cantSplit/>
        </w:trPr>
        <w:tc>
          <w:tcPr>
            <w:tcW w:w="258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3.</w:t>
            </w:r>
          </w:p>
        </w:tc>
        <w:tc>
          <w:tcPr>
            <w:tcW w:w="4742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Uredba (EZ) br. </w:t>
            </w:r>
            <w:r w:rsidRPr="005D4B38">
              <w:rPr>
                <w:rFonts w:cs="Arial"/>
                <w:i/>
                <w:iCs/>
                <w:lang w:val="hr-HR"/>
              </w:rPr>
              <w:t xml:space="preserve">2150/2002 Evropskog parlamenta i Savjeta od 25. novembra 2002. godine o statistikama o otpadu, kasnije izmijenjena </w:t>
            </w:r>
            <w:r w:rsidRPr="005D4B38">
              <w:rPr>
                <w:rFonts w:cs="Arial"/>
                <w:lang w:val="hr-HR"/>
              </w:rPr>
              <w:t xml:space="preserve">Uredbom Komisije (EZ) 574/2004 od 23. februara 2004. godine koja mijenja Anekse I i III, Uredbom Komisije (EZ) br. 783/2005 od 24. maja 2005. godine koja mijenja Aneks II, Uredbom (EZ) br. 1893/2006 Evropskog parlamenta i Savjeta od 20. decembra 2006. godine o uspostavljanju statističke klasifikacije ekonomskih djelatnosti NACE, Uredbom (EZ) br. 221/2009 Evropskog parlamenta i Savjeta od 11. marta 2009. godine, u smislu provedbenih ovlaštenja Komisije, i Uredbe Komisije (EU) br. 849/2010 od 27. septembra 2010. godine - </w:t>
            </w:r>
            <w:r w:rsidRPr="005D4B38">
              <w:rPr>
                <w:rFonts w:cs="Arial"/>
                <w:b/>
                <w:bCs/>
                <w:lang w:val="hr-HR"/>
              </w:rPr>
              <w:t>Statistike o otpadu</w:t>
            </w:r>
          </w:p>
        </w:tc>
      </w:tr>
      <w:tr w:rsidR="00D35638" w:rsidRPr="005D4B38" w:rsidTr="00397C02">
        <w:trPr>
          <w:cantSplit/>
        </w:trPr>
        <w:tc>
          <w:tcPr>
            <w:tcW w:w="258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4.</w:t>
            </w:r>
          </w:p>
        </w:tc>
        <w:tc>
          <w:tcPr>
            <w:tcW w:w="4742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Savjeta 1999/31/EZ od 26. aprila 1999. godine o odlaganju otpada na deponije, uz izmjene iz Uredbe (EZ) 1882/2003 i Uredbe (EZ) 1137/2008 i Direktive 2011/97/EU o uspostavljanju posebnih kriterijuma za skladištenje otpadne metalne žive, Odluke Savjeta 2003/33/EZ od 19. decembra 2002. godine o uspostavljanju kriterijuma i postupaka za prihvatanja otpada na deponijama u skladu sa članom 16. Aneksa II Direktive 1999/31/EZ – </w:t>
            </w:r>
            <w:r w:rsidRPr="005D4B38">
              <w:rPr>
                <w:rFonts w:cs="Arial"/>
                <w:b/>
                <w:bCs/>
                <w:lang w:val="hr-HR"/>
              </w:rPr>
              <w:t>Direktiva o deponijama</w:t>
            </w:r>
          </w:p>
        </w:tc>
      </w:tr>
      <w:tr w:rsidR="00D35638" w:rsidRPr="005D4B38" w:rsidTr="00397C02">
        <w:trPr>
          <w:cantSplit/>
        </w:trPr>
        <w:tc>
          <w:tcPr>
            <w:tcW w:w="258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lastRenderedPageBreak/>
              <w:t>5.</w:t>
            </w:r>
          </w:p>
        </w:tc>
        <w:tc>
          <w:tcPr>
            <w:tcW w:w="4742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Evropskog parlamenta i Savjeta br. 94/62/EZ od 20. decembra 1994. godine o ambalaži i ambalažnom otpadu, izmijenjena Uredbom (EZ) br. 1882/2003 Evropskog parlamenta i Savjeta od 29. septembra 2003. godine, Direktivom 2004/12/EZ Evropskog parlamenta i Savjeta od 11. februara 2004. godine, Direktivom 2005/20/EZ Evropskog parlamenta i Savjeta od 9. marta 2005. godine, Uredbom (EZ) 219/2009 Evropskog parlamenta i Savjeta od 11. marta 2009. godine - </w:t>
            </w:r>
            <w:r w:rsidRPr="005D4B38">
              <w:rPr>
                <w:rFonts w:cs="Arial"/>
                <w:b/>
                <w:bCs/>
                <w:lang w:val="hr-HR"/>
              </w:rPr>
              <w:t>Direktiva o ambalažnom otpadu</w:t>
            </w:r>
          </w:p>
        </w:tc>
      </w:tr>
      <w:tr w:rsidR="00D35638" w:rsidRPr="005D4B38" w:rsidTr="00397C02">
        <w:trPr>
          <w:cantSplit/>
        </w:trPr>
        <w:tc>
          <w:tcPr>
            <w:tcW w:w="258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6.</w:t>
            </w:r>
          </w:p>
        </w:tc>
        <w:tc>
          <w:tcPr>
            <w:tcW w:w="4742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2000/53/EZ Evropskog parlamenta i Savjeta od 18. septembra 2000. godine o otpadnim vozilima, izmijenjena Odlukom Komisije 2002/525/EZ od 27. juna 2002. godine, Odlukom Komisije 2005/63/EZ od 24. januara 2005. godine, Odlukom Komisije 2005/438/EZ od 10. juna 2005. godine, Odlukom Savjeta 2005/673/EZ od 20. septembra 2005. godine, Direktivom 2008/33/EZ Evropskog parlamenta i Savjeta od 11. marta 2008. godine, Odlukom Komisije 2008/689/EZ od 1. avgusta 2008. godine, Direktivom 2008/112/EZ Evropskog parlamenta i Savjeta od 16. decembra 2008. godine, Odlukom Komisije 2010/115/EU od 23. februara 2010. godine, Direktivom Komisije 2011/37/EU od 30. marta 2011. godine - </w:t>
            </w:r>
            <w:r w:rsidRPr="005D4B38">
              <w:rPr>
                <w:rFonts w:cs="Arial"/>
                <w:b/>
                <w:bCs/>
                <w:lang w:val="hr-HR"/>
              </w:rPr>
              <w:t>Direktiva o otpadnim vozilima</w:t>
            </w:r>
          </w:p>
        </w:tc>
      </w:tr>
      <w:tr w:rsidR="00D35638" w:rsidRPr="005D4B38" w:rsidTr="00397C02">
        <w:trPr>
          <w:cantSplit/>
        </w:trPr>
        <w:tc>
          <w:tcPr>
            <w:tcW w:w="258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7.</w:t>
            </w:r>
          </w:p>
        </w:tc>
        <w:tc>
          <w:tcPr>
            <w:tcW w:w="4742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2006/66/EZ Evropskog parlamenta i Savjeta od 6. septembra 2006. godine o baterijama i akumulatorima i otpadnim baterijama i akumulatorima koja opoziva Direktivu 91/157/EEZ, izmijenjena Direktivom 2008/12/EZ Evropskog parlamenta i Savjeta od 11. marta 2008. godine i Direktivom 2008/103/EZ Evropskog parlamenta i Savjeta od 19. novembra 2008. godine - </w:t>
            </w:r>
            <w:r w:rsidRPr="005D4B38">
              <w:rPr>
                <w:rFonts w:cs="Arial"/>
                <w:b/>
                <w:bCs/>
                <w:lang w:val="hr-HR"/>
              </w:rPr>
              <w:t>Direktiva o baterijama i akumulatorima</w:t>
            </w:r>
          </w:p>
        </w:tc>
      </w:tr>
      <w:tr w:rsidR="00D35638" w:rsidRPr="005D4B38" w:rsidTr="00397C02">
        <w:trPr>
          <w:cantSplit/>
        </w:trPr>
        <w:tc>
          <w:tcPr>
            <w:tcW w:w="258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8.</w:t>
            </w:r>
          </w:p>
        </w:tc>
        <w:tc>
          <w:tcPr>
            <w:tcW w:w="4742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Odluka Komisije 2008/763/EZ od 29. septembra 2008. godine kojom se uspostavlja, u skladu sa Direktivom 2006/66/EZ Evropskog parlamenta i Savjeta, opšta metodologija za izračunavanje godišnjeg obima prodaje baterija i akumulatora krajnjim korisnicima, Odluka Komisije 2009/603/EZ od 5. avgusta 2009. godine o uspostavljanju zahtjeva za registraciju proizvođača baterija i akumulatora u skladu sa Direktivom 2006/66/EZ Evropskog parlamenta i Savjeta, Odlukom Komisije 2009/851/EZ od 25. novembra 2009. godine o uvođenju upitnika za zemlje članice o provođenju Direktive 2006/66/EZ Evropskog parlamenta i Savjeta o baterijama i akumulatorima i otpadnim baterijama i akumulatorima</w:t>
            </w:r>
          </w:p>
        </w:tc>
      </w:tr>
      <w:tr w:rsidR="00D35638" w:rsidRPr="005D4B38" w:rsidTr="00397C02">
        <w:trPr>
          <w:cantSplit/>
        </w:trPr>
        <w:tc>
          <w:tcPr>
            <w:tcW w:w="258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9.</w:t>
            </w:r>
          </w:p>
        </w:tc>
        <w:tc>
          <w:tcPr>
            <w:tcW w:w="4742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Savjeta 96/59/EZ od 16. septembra 1996. godine o uklanjanju polihlorovanih bifenila i polihlorovanih terfenila (PCB/PCT), izmijenjena Uredbom (EZ) br. 596/2009 Evropskog parlamenta i Savjeta od 18. juna 2009. godine - </w:t>
            </w:r>
            <w:r w:rsidRPr="005D4B38">
              <w:rPr>
                <w:rFonts w:cs="Arial"/>
                <w:b/>
                <w:bCs/>
                <w:lang w:val="hr-HR"/>
              </w:rPr>
              <w:t>Direktiva o uklanjanju PCB-a i PCT-a</w:t>
            </w:r>
          </w:p>
        </w:tc>
      </w:tr>
      <w:tr w:rsidR="00D35638" w:rsidRPr="005D4B38" w:rsidTr="00397C02">
        <w:trPr>
          <w:cantSplit/>
        </w:trPr>
        <w:tc>
          <w:tcPr>
            <w:tcW w:w="258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10.</w:t>
            </w:r>
          </w:p>
        </w:tc>
        <w:tc>
          <w:tcPr>
            <w:tcW w:w="4742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Uredba Komisije (EZ) br. 850/2004 o postojanim organskim zagađivačima, izmijenjena Uredbom br. 757/2010 od 24. avgusta 2010. godine koja izmjenjuje Anekse I i III, i Uredbom br. 756/2010 od 24. avgusta 2010. godine koja izmjenjuje Anekse IV i V</w:t>
            </w:r>
          </w:p>
        </w:tc>
      </w:tr>
      <w:tr w:rsidR="00D35638" w:rsidRPr="005D4B38" w:rsidTr="00397C02">
        <w:trPr>
          <w:cantSplit/>
        </w:trPr>
        <w:tc>
          <w:tcPr>
            <w:tcW w:w="258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11.</w:t>
            </w:r>
          </w:p>
        </w:tc>
        <w:tc>
          <w:tcPr>
            <w:tcW w:w="4742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Direktiva 2006/21/EZ Evropskog parlamenta i Savjeta od 15. marta 2006. godine</w:t>
            </w:r>
          </w:p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o upravljanju otpadom iz ekstrakcijskih industrija, koja izmjenjuje Direktivu 2004/35/EZ, i Uredba (EZ) br. 596/2009, uz izmjene iz Odluka Komisije br. 2009/335/EZ, 2009/337/EZ, 2009/358/EZ, 2009/359/EZ i 2009/360/EZ – </w:t>
            </w:r>
            <w:r w:rsidRPr="005D4B38">
              <w:rPr>
                <w:rFonts w:cs="Arial"/>
                <w:b/>
                <w:bCs/>
                <w:lang w:val="hr-HR"/>
              </w:rPr>
              <w:t>Direktiva o rudarskom otpadu</w:t>
            </w:r>
          </w:p>
        </w:tc>
      </w:tr>
      <w:tr w:rsidR="00D35638" w:rsidRPr="005D4B38" w:rsidTr="00397C02">
        <w:trPr>
          <w:cantSplit/>
        </w:trPr>
        <w:tc>
          <w:tcPr>
            <w:tcW w:w="258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lastRenderedPageBreak/>
              <w:t>12.</w:t>
            </w:r>
          </w:p>
        </w:tc>
        <w:tc>
          <w:tcPr>
            <w:tcW w:w="4742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Savjeta 86/278/EZ od 12. juna 1986. godine o zaštiti okoliša/životne sredine, a naročito zemljišta, pri upotrebi otpadnog mulja u poljoprivredne svrhe, izmijenjena Direktivom Savjeta 91/692/EEZ od 23. decembra 1991. godine, Uredbom Savjeta EZ/807/2003 od 14. aprila 2003. godine i Uredbom EZ/219/2009 Evropskog parlamenta i Savjeta od 11. marta 2009. godine - </w:t>
            </w:r>
            <w:r w:rsidRPr="005D4B38">
              <w:rPr>
                <w:rFonts w:cs="Arial"/>
                <w:b/>
                <w:bCs/>
                <w:lang w:val="hr-HR"/>
              </w:rPr>
              <w:t>Direktiva o otpadnom mulju</w:t>
            </w:r>
          </w:p>
        </w:tc>
      </w:tr>
      <w:tr w:rsidR="00D35638" w:rsidRPr="005D4B38" w:rsidTr="00397C02">
        <w:trPr>
          <w:cantSplit/>
        </w:trPr>
        <w:tc>
          <w:tcPr>
            <w:tcW w:w="258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13.</w:t>
            </w:r>
          </w:p>
        </w:tc>
        <w:tc>
          <w:tcPr>
            <w:tcW w:w="4742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Uredba (EZ) br. 1013/2006 Evropskog parlamenta i Savjeta od 14. juna 2006. godine o transportu otpada, izmijenjena sljedećim: Uredbom Komisije (EZ) br. 1379/2007 od 26. novembra 2007. godine, Uredbom Komisije (EZ) br. 669/2008 od 15. jula 2008. godine, Uredbom EZ/219/2009 Evropskog parlamenta i Savjeta od 11. marta 2009. godine, Uredbom Komisije (EZ) br. EZ/308/2009 od 15. aprila 2009. godine, Direktivom 2009/31/EZ Evropskog parlamenta i Savjeta od 23. aprila 2009. godine, Uredbom Komisije (EU) br. 413/2010 od 12. maja 2010. godine, Uredbom Komisije (EZ) br. 664/2011 od 11. jula 2011. godine i Uredbom Komisije (EU) br. 135/2012 od 16. februara 2012. godine - </w:t>
            </w:r>
            <w:r w:rsidRPr="005D4B38">
              <w:rPr>
                <w:rFonts w:cs="Arial"/>
                <w:b/>
                <w:bCs/>
                <w:lang w:val="hr-HR"/>
              </w:rPr>
              <w:t>Transport otpada</w:t>
            </w:r>
          </w:p>
        </w:tc>
      </w:tr>
      <w:tr w:rsidR="00D35638" w:rsidRPr="005D4B38" w:rsidTr="00397C02">
        <w:trPr>
          <w:cantSplit/>
        </w:trPr>
        <w:tc>
          <w:tcPr>
            <w:tcW w:w="258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14.</w:t>
            </w:r>
          </w:p>
        </w:tc>
        <w:tc>
          <w:tcPr>
            <w:tcW w:w="4742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Uredba Komisije (EZ) br. 1418/2007 od 29. novembra 2007. godine o izvozu u svrhu ponovne upotrebe određenog otpada nabrojanog u Aneksu III ili IIIA Uredbe (EZ) br. 1013/2006 Evropskog parlamenta i Savjeta u određene zemlje na koje se ne odnosi Odluka OECD-a o kontroli prekograničnog kretanja otpada, izmijenjena Uredbom (EZ) 740/2008, Uredbom (EZ) 967/2008 i Uredbom (EU) 674/2012</w:t>
            </w:r>
          </w:p>
        </w:tc>
      </w:tr>
      <w:tr w:rsidR="00D35638" w:rsidRPr="005D4B38" w:rsidTr="00397C02">
        <w:trPr>
          <w:cantSplit/>
        </w:trPr>
        <w:tc>
          <w:tcPr>
            <w:tcW w:w="258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15.</w:t>
            </w:r>
          </w:p>
        </w:tc>
        <w:tc>
          <w:tcPr>
            <w:tcW w:w="4742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2012/19/EU Evropskog parlamenta i Savjeta od 4. jula 2012. godine o električnom i elektronskom otpadu (EEO) - </w:t>
            </w:r>
            <w:r w:rsidRPr="005D4B38">
              <w:rPr>
                <w:rFonts w:cs="Arial"/>
                <w:b/>
                <w:bCs/>
                <w:lang w:val="hr-HR"/>
              </w:rPr>
              <w:t>Direktiva o EEO</w:t>
            </w:r>
          </w:p>
        </w:tc>
      </w:tr>
    </w:tbl>
    <w:p w:rsidR="00D35638" w:rsidRPr="005D4B38" w:rsidRDefault="00D35638" w:rsidP="00D35638">
      <w:pPr>
        <w:pStyle w:val="Heading2"/>
        <w:numPr>
          <w:ilvl w:val="0"/>
          <w:numId w:val="0"/>
        </w:numPr>
        <w:rPr>
          <w:rStyle w:val="Title1"/>
        </w:rPr>
      </w:pPr>
      <w:bookmarkStart w:id="21" w:name="_Toc265428027"/>
      <w:bookmarkStart w:id="22" w:name="_Toc265427545"/>
      <w:bookmarkStart w:id="23" w:name="_Toc265426736"/>
      <w:bookmarkStart w:id="24" w:name="_Toc264883914"/>
      <w:bookmarkStart w:id="25" w:name="_Toc400713133"/>
      <w:r w:rsidRPr="005D4B38">
        <w:rPr>
          <w:rStyle w:val="Title1"/>
        </w:rPr>
        <w:t>KVALITET VAZDUHA I KLIMATSKE PROMJENE</w:t>
      </w:r>
      <w:bookmarkEnd w:id="21"/>
      <w:bookmarkEnd w:id="22"/>
      <w:bookmarkEnd w:id="23"/>
      <w:bookmarkEnd w:id="24"/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12315"/>
      </w:tblGrid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2008/50/EZ Evropskog parlamenta i Savjeta od 21. maja 2008. godine o kvalitetu ambijentalnog vazduha i čistijem vazduhu za Evropu - </w:t>
            </w:r>
            <w:r w:rsidRPr="005D4B38">
              <w:rPr>
                <w:rFonts w:cs="Arial"/>
                <w:b/>
                <w:bCs/>
                <w:lang w:val="hr-HR"/>
              </w:rPr>
              <w:t>Direktiva o KAV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2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2004/107/EZ Evropskog parlamenta i Savjeta od 15. decembra 2004. godine o arseniku, kadmijumu, živi, niklu i policikličnim aromatičnim ugljovodonicima u ambijentalnom vazduhu, izmijenjena Uredbom (EZ) 219/2009 - </w:t>
            </w:r>
            <w:r w:rsidRPr="005D4B38">
              <w:rPr>
                <w:rFonts w:cs="Arial"/>
                <w:b/>
                <w:bCs/>
                <w:lang w:val="hr-HR"/>
              </w:rPr>
              <w:t xml:space="preserve">Direktiva o arseniku, kadmijumu, živi, niklu i policikličnim aromatičnim ugljovodonicima u ambijentalnom vazduhu 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3.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2001/81/EZ Evropskog parlamenta i Savjeta od 23. oktobra 2001. godine o državnoj gornjoj granici za određene atmosferske zagađujuće materije, izmijenjena Direktivom 2006/105/EZ od 20. novembra 2006. godine i Uredbom (EZ) br. EZ/219/2009 Evropskog parlamenta i Savjeta od 11. marta 2009. godine - </w:t>
            </w:r>
            <w:r w:rsidRPr="005D4B38">
              <w:rPr>
                <w:rFonts w:cs="Arial"/>
                <w:b/>
                <w:bCs/>
                <w:lang w:val="hr-HR"/>
              </w:rPr>
              <w:t>DGGE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lastRenderedPageBreak/>
              <w:t>4.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94/63/EZ Evropskog parlamenta i Savjeta od 20. decembra 1994. godine o kontroli emisija isparljivih organskih jedinjenja koje nastaju kao posljedica skladištenja benzina i njegove distribucije od terminala do pumpnih stanica, izmijenjena Uredbama EZ/1882/2003 i EZ/1137/2008  - </w:t>
            </w:r>
            <w:r w:rsidRPr="005D4B38">
              <w:rPr>
                <w:rFonts w:cs="Arial"/>
                <w:b/>
                <w:bCs/>
                <w:lang w:val="hr-HR"/>
              </w:rPr>
              <w:t>Direktiva o oslobađanju VOC iz benzina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5.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2009/126/EZ Evropskog parlamenta i Savjeta od 21. oktobra 2009. godine o fazi II prikupljanja benzinskih isparenja tokom sipanja goriva u motorna vozila na pumpnim stanicama </w:t>
            </w:r>
            <w:r w:rsidRPr="005D4B38">
              <w:rPr>
                <w:rFonts w:cs="Arial"/>
                <w:i/>
                <w:iCs/>
                <w:lang w:val="hr-HR"/>
              </w:rPr>
              <w:t xml:space="preserve">- </w:t>
            </w:r>
            <w:r w:rsidRPr="005D4B38">
              <w:rPr>
                <w:rFonts w:cs="Arial"/>
                <w:b/>
                <w:bCs/>
                <w:lang w:val="hr-HR"/>
              </w:rPr>
              <w:t xml:space="preserve">Direktiva o fazi II rekuperacije benzinskih para 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6.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2004/42/EZ Evropskog parlamenta i Savjeta od 21. aprila 2004. godine o ograničenju emisija isparljivih organskih jedinjenja koje nastaju korišćenjem organskih razređivača u dekorativnim bojama i lakovima i proizvodima za finalnu obradu vozila, koja izmjenjuje Direktivu 1999/13/EZ, izmijenjenu Direktivom 2008/112/EZ i Uredbom EZ/1137/2008 - </w:t>
            </w:r>
            <w:r w:rsidRPr="005D4B38">
              <w:rPr>
                <w:rFonts w:cs="Arial"/>
                <w:b/>
                <w:bCs/>
                <w:lang w:val="hr-HR"/>
              </w:rPr>
              <w:t>Direktiva o bojama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7.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97/68/EZ Evropskog parlamenta i Savjeta od 16. decembra 1997. godine o aproksimaciji zakona zemalja članica u oblasti mjera protiv emisije gasovitih i čestičnih zagađujućih materija iz motora sa unutrašnjim sagorijevanjem instaliranih u pokretne mašine koje se koriste u izvancestovnom saobraćaju, izmijenjena i dopunjena Direktivama 2001/63/EZ, 2002/88/EZ, 2004/26/EZ i 2006/105/EZ, Uredbom (EZ) 596/2009Direktivom 2010/26/EU, Direktivom 2011/88/EU i Direktivom 2012/46/EU - </w:t>
            </w:r>
            <w:r w:rsidRPr="005D4B38">
              <w:rPr>
                <w:rFonts w:cs="Arial"/>
                <w:b/>
                <w:bCs/>
                <w:lang w:val="hr-HR"/>
              </w:rPr>
              <w:t>Direktiva o mašinama u izvancestovnom saobraćaju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8.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Uredba (EZ) br. 850/2004 Evropskog parlamenta i Savjeta od 29. aprila 2004. godine o postojanim organskim zagađujućim materijama, izmijenjena Direktivom 79/117/EEZ i Uredbama EZ/1195/2006, EZ/172/2007, EZ/323/2007, EZ/219/2009, EZ/304/2009 i 519/2012 - </w:t>
            </w:r>
            <w:r w:rsidRPr="005D4B38">
              <w:rPr>
                <w:rFonts w:cs="Arial"/>
                <w:b/>
                <w:bCs/>
                <w:lang w:val="hr-HR"/>
              </w:rPr>
              <w:t>Direktiva o POZ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9.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98/70/EZ Evropskog parlamenta i Savjeta od 13. oktobra 1998. godine o kvalitetu benzinskih i dizel goriva koja izmjenjuje Direktivu Savjeta 93/12/EEZ, uz izmjene Direktivama Komisije 2000/71/EZ od 7. novembra 2000. godine, 2003/17/EZ Evropskog parlamenta i Savjeta od 3. marta 2003. godine, Uredbom (EZ) br. 1882/2003 Evropskog parlamenta i Savjeta od 29. septembra 2003. godine, Direktivom 2009/30/EZ Evropskog parlamenta i Savjeta od 23. aprila 2009. godine, Direktiva Savjeta 2002/159/EZ od 18. februara 2002. godine o opštem formatu za podnošenje državnih sumarnih podataka o kvalitetu goriva - </w:t>
            </w:r>
            <w:r w:rsidRPr="005D4B38">
              <w:rPr>
                <w:rFonts w:cs="Arial"/>
                <w:b/>
                <w:bCs/>
                <w:lang w:val="hr-HR"/>
              </w:rPr>
              <w:t xml:space="preserve">Direktiva o kvalitetu goriva 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10.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Savjeta 1999/32/EZ od 26. aprila 1999. godine o smanjenju sadržaja sumpora u određenim tečnim gorivima, koja izmjenjuje Direktivu 93/12/EEZ, uz izmjene iz Uredbe (EZ)1882/2003, Uredbe (EZ) 219/2009, Direktive 2005/33/EZ i Direktive 2009/30/EZ - </w:t>
            </w:r>
            <w:r w:rsidRPr="005D4B38">
              <w:rPr>
                <w:rFonts w:cs="Arial"/>
                <w:b/>
                <w:bCs/>
                <w:lang w:val="hr-HR"/>
              </w:rPr>
              <w:t>Direktiva o sadržaju sumpora u tečnim gorivima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11.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2009/29/EZ Evropskog parlamenta i Savjeta od 23. aprila 2009. godine kojom se izmjenjuje Direktiva 2003/87/EZ s ciljem poboljšanja i proširenja sistema za trgovanje pravima na emisiju gasova staklene bašte Zajednice - </w:t>
            </w:r>
            <w:r w:rsidRPr="005D4B38">
              <w:rPr>
                <w:rFonts w:cs="Arial"/>
                <w:b/>
                <w:bCs/>
                <w:lang w:val="hr-HR"/>
              </w:rPr>
              <w:t>Direktiva o trgovini emisijama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lastRenderedPageBreak/>
              <w:t>12.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Uredba Komisije (EU) br. 601/2012 od 21. juna 2012. godine o praćenju i izvještavanju o emisijama gasova staklene bašte u skladu sa Direktivom 2003/87/EZ Evropskog parlamenta i Vijeća, izmijenjena Uredbom Komisije (EU) br. 206/2014 o potencijalima za globalno zagrijavanje posredstvom gasova staklene bašte osim CO2 - </w:t>
            </w:r>
            <w:r w:rsidRPr="005D4B38">
              <w:rPr>
                <w:rFonts w:cs="Arial"/>
                <w:b/>
                <w:bCs/>
                <w:lang w:val="hr-HR"/>
              </w:rPr>
              <w:t xml:space="preserve">Uredba o prijavljivanju emisija GHG 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13.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S obzirom da ovaj izvještaj mora biti verifikovan, Komisija je usvojila Uredbu (EU) br. 600/2012 od 21. juna 2012. godine o verifikaciji izvještaja o emisijama gasova staklene bašte i tona-kilometar izvještaja i o akreditaciji verifikatora u skladu sa Direktivom 2003/87/EZ Evropskog parlamenta i Savjeta (Uredba o verifikaciji izvještaja o emisijama GHG).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14.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Uredba Komisije (EZ) br. 994/2008 od 8. oktobra 2008. godine o standardizovanom i osiguranom sistemu registara, u skladu sa Direktivom 2003/87/EZ Evropskog parlamenta i Savjeta i Odlukom br. 280/2004/EZ Evropskog parlamenta i Savjeta - </w:t>
            </w:r>
            <w:r w:rsidRPr="005D4B38">
              <w:rPr>
                <w:rFonts w:cs="Arial"/>
                <w:b/>
                <w:bCs/>
                <w:lang w:val="hr-HR"/>
              </w:rPr>
              <w:t>Uredba o registrima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15.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Uredba Komisije (EU) br. 82/2010 od 28. januara 2010. godine, koja izmjenjuje i dopunjava Uredbu (EZ) br. 748/2009 o listi vazduhoplovnih operatera koji su proveli vazduhoplovnu aktivnost navedenu u Aneksu I Direktive 2003/87/EZ nakon 1. januara 2006. godine, koja navodi administrativnu zemlju članicu za svakog vazduhoplovnog operatera - </w:t>
            </w:r>
            <w:r w:rsidRPr="005D4B38">
              <w:rPr>
                <w:rFonts w:cs="Arial"/>
                <w:b/>
                <w:bCs/>
                <w:lang w:val="hr-HR"/>
              </w:rPr>
              <w:t>Uredba o vazduhoplovstvu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16.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Odluka Komisije 2009/450/EZ od 8. juna 2009. godine o detaljnom objašnjenju vazduhoplovnih aktivnosti nabrojanih u Aneksu I Direktive 2003/87/EZ Evropskog parlamenta i Savjeta - </w:t>
            </w:r>
            <w:r w:rsidRPr="005D4B38">
              <w:rPr>
                <w:rFonts w:cs="Arial"/>
                <w:b/>
                <w:bCs/>
                <w:lang w:val="hr-HR"/>
              </w:rPr>
              <w:t>Odluka o vazduhoplovstvu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17.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Odluka Komisije 2006/780/EZ od 13. novembra 2006. godine o izbjegavanju dvostrukog brojanja smanjenja emisija gasova staklene bašte u sklopu sistema trgovine emisijama unutar Zajednice za projektne aktivnosti iz Kjoto protokola u skladu sa Direktivom 2003/87/EZ Evropskog parlamenta i Savjeta - </w:t>
            </w:r>
            <w:r w:rsidRPr="005D4B38">
              <w:rPr>
                <w:rFonts w:cs="Arial"/>
                <w:b/>
                <w:bCs/>
                <w:lang w:val="hr-HR"/>
              </w:rPr>
              <w:t>Odluka o dvostrukom brojanju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18.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Odluka Komisije 2007/589/EZ od 18. jula 2007. godine o određivanju smjernica za praćenje i izvještavanje o emisijama gasova staklene bašte u skladu sa Direktivom 2003/87/EZ Evropskog parlamenta i Savjeta - </w:t>
            </w:r>
            <w:r w:rsidRPr="005D4B38">
              <w:rPr>
                <w:rFonts w:cs="Arial"/>
                <w:b/>
                <w:bCs/>
                <w:lang w:val="hr-HR"/>
              </w:rPr>
              <w:t>Odluka o praćenju i izvještavanju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19.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Odluka Komisije 2010/2/EU od 24. decembra 2009. godine kojom se utvrđuje, u skladu sa Direktivom 2003/87/EZ Evropskog parlamenta i Savjeta, spisak sektora i pod-sektora koji se smatraju izloženim značajnom riziku curenja ugljenika, uz izmjene iz Odluka 2011/745/EU i 2012/498/EU - </w:t>
            </w:r>
            <w:r w:rsidRPr="005D4B38">
              <w:rPr>
                <w:rFonts w:cs="Arial"/>
                <w:b/>
                <w:bCs/>
                <w:lang w:val="hr-HR"/>
              </w:rPr>
              <w:t>Odluka o riziku curenja ugljika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20.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>Direktiva 1999/94/EZ Evropskog parlamenta i Savjeta od 13. decembra 1999. godine o pružanju informacija kupcima o ekonomičnosti potrošnje goriva i emisijama CO</w:t>
            </w:r>
            <w:r w:rsidRPr="005D4B38">
              <w:rPr>
                <w:rFonts w:cs="Arial"/>
                <w:vertAlign w:val="subscript"/>
                <w:lang w:val="hr-HR"/>
              </w:rPr>
              <w:t xml:space="preserve">2 </w:t>
            </w:r>
            <w:r w:rsidRPr="005D4B38">
              <w:rPr>
                <w:rFonts w:cs="Arial"/>
                <w:lang w:val="hr-HR"/>
              </w:rPr>
              <w:t xml:space="preserve">pri stavljanju u promet novih putničkih vozila, izmijenjena Direktivom 2003/73/EZ, Uredbom (EZ) br. 1882/2003 i Uredbom (EZ) br. 1137/2008 - </w:t>
            </w:r>
            <w:r w:rsidRPr="005D4B38">
              <w:rPr>
                <w:rFonts w:cs="Arial"/>
                <w:b/>
                <w:bCs/>
                <w:lang w:val="hr-HR"/>
              </w:rPr>
              <w:t>Direktiva o informisanju kupaca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lastRenderedPageBreak/>
              <w:t>21.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2009/31/EZ Evropskog parlamenta i Savjeta od 23. aprila 2009. godine o geološkom skladištenju ugljen dioksida koja izmjenjuje Direktivu Savjeta 85/337/EEZ, Direktive Evropskog parlamenta i Savjeta 2000/60/EZ, 2001/80/EZ, 2004/35/EZ, 2006/12/EZ, 2008/1/EZ i Uredbu (EZ) br. 1013/2006 - </w:t>
            </w:r>
            <w:r w:rsidRPr="005D4B38">
              <w:rPr>
                <w:rFonts w:cs="Arial"/>
                <w:b/>
                <w:bCs/>
                <w:lang w:val="hr-HR"/>
              </w:rPr>
              <w:t>Direktiva o skladištenju ugljen dioksida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22.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>Uredba (EZ) br. 443/2009 Evropskog parlamenta i Savjeta od 23. aprila 2009. godine o postavljanju emisionih standarda za nove putničke automobile u sklopu integrisanog pristupa unutar Zajednice smanjenju emisija CO</w:t>
            </w:r>
            <w:r w:rsidRPr="005D4B38">
              <w:rPr>
                <w:rFonts w:cs="Arial"/>
                <w:vertAlign w:val="subscript"/>
                <w:lang w:val="hr-HR"/>
              </w:rPr>
              <w:t>2</w:t>
            </w:r>
            <w:r w:rsidRPr="005D4B38">
              <w:rPr>
                <w:rFonts w:cs="Arial"/>
                <w:lang w:val="hr-HR"/>
              </w:rPr>
              <w:t xml:space="preserve"> iz lakih vozila - </w:t>
            </w:r>
            <w:r w:rsidRPr="005D4B38">
              <w:rPr>
                <w:rFonts w:cs="Arial"/>
                <w:b/>
                <w:bCs/>
                <w:lang w:val="hr-HR"/>
              </w:rPr>
              <w:t>Uredba o emisijama iz putničkih automobila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23.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Odluka 280/2004/EZ Evropskog parlamenta i Savjeta od 11. februara 2004. godine o mehanizmu praćenja emisija gasova staklene bašte u Zajednici i za provedbu Kjoto protokola i Direktiva Komisije 2005/166/EZ o odredbama za njeno provođenje - </w:t>
            </w:r>
            <w:r w:rsidRPr="005D4B38">
              <w:rPr>
                <w:rFonts w:cs="Arial"/>
                <w:b/>
                <w:bCs/>
                <w:lang w:val="hr-HR"/>
              </w:rPr>
              <w:t>Odluka o mehanizmu praćenja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24.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Odluka br. 406/2009/EZ Evropskog parlamenta i Savjeta od 23. aprila 2009. godine o naporima zemalja članica na redukciji emisija gasova staklene bašte radi postizanja obećanja Zajednice o smanjenju emisija gasova staklene bašte do 2020. godine - </w:t>
            </w:r>
            <w:r w:rsidRPr="005D4B38">
              <w:rPr>
                <w:rFonts w:cs="Arial"/>
                <w:b/>
                <w:bCs/>
                <w:lang w:val="hr-HR"/>
              </w:rPr>
              <w:t>Odluka o zajedničkim naporima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25.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b/>
                <w:bCs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Uredba (EZ) br. 1005/2009 Evropskog parlamenta i Savjeta od 16. septembra 2009. godine o materijama koje oštećuju ozonski omotač (preinačena verzija), uz izmjene Uredbom Komisije (EU) br. 744/2010 od 18. avgusta 2010. godine -  </w:t>
            </w:r>
            <w:r w:rsidRPr="005D4B38">
              <w:rPr>
                <w:rFonts w:cs="Arial"/>
                <w:b/>
                <w:bCs/>
                <w:lang w:val="hr-HR"/>
              </w:rPr>
              <w:t>Uredba o materijama koje oštećuju ozonski omotač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26.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Direktiva Komisije 2010/79/EU od 19. novembra 2010. godine o prilagođavanju tehničkim napretcima Aneksa III Direktive 2004/42/EZ Evropskog parlamenta i Savjeta o ograničenju emisija isparljivih organskih jedinjenja</w:t>
            </w:r>
          </w:p>
        </w:tc>
      </w:tr>
    </w:tbl>
    <w:p w:rsidR="00D35638" w:rsidRPr="005D4B38" w:rsidRDefault="00D35638" w:rsidP="00D35638">
      <w:pPr>
        <w:pStyle w:val="Heading2"/>
        <w:numPr>
          <w:ilvl w:val="0"/>
          <w:numId w:val="0"/>
        </w:numPr>
        <w:rPr>
          <w:rStyle w:val="Title1"/>
        </w:rPr>
      </w:pPr>
      <w:bookmarkStart w:id="26" w:name="_Toc265428028"/>
      <w:bookmarkStart w:id="27" w:name="_Toc265427546"/>
      <w:bookmarkStart w:id="28" w:name="_Toc265426737"/>
      <w:bookmarkStart w:id="29" w:name="_Toc264883915"/>
      <w:bookmarkStart w:id="30" w:name="_Toc400713134"/>
      <w:r w:rsidRPr="005D4B38">
        <w:rPr>
          <w:rStyle w:val="Title1"/>
        </w:rPr>
        <w:t>INDUSTRIJSKO ZAGAĐENJE</w:t>
      </w:r>
      <w:bookmarkEnd w:id="26"/>
      <w:bookmarkEnd w:id="27"/>
      <w:bookmarkEnd w:id="28"/>
      <w:bookmarkEnd w:id="29"/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12315"/>
      </w:tblGrid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pStyle w:val="ListParagraph"/>
              <w:spacing w:before="120"/>
              <w:ind w:left="-108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2010/75/EU Evropskog parlamenta i Savjeta od 24. novembra 2010. godine o industrijskim emisijama (Direktiva o industrijskim emisijama) - </w:t>
            </w:r>
            <w:r w:rsidRPr="005D4B38">
              <w:rPr>
                <w:rFonts w:cs="Arial"/>
                <w:b/>
                <w:bCs/>
                <w:lang w:val="hr-HR"/>
              </w:rPr>
              <w:t>DIE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spacing w:before="120"/>
              <w:ind w:left="-108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2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2012/18/EU Evropskog parlamenta i Savjeta od 4. jula 2012. godine o kontroli faktora rizika za veće nesreće koje uključuju opasne materije, koja izmjenjuje i naknadno opoziva Direktivu Savjeta 96/82/EZ - </w:t>
            </w:r>
            <w:r w:rsidRPr="005D4B38">
              <w:rPr>
                <w:rFonts w:cs="Arial"/>
                <w:b/>
                <w:bCs/>
                <w:lang w:val="hr-HR"/>
              </w:rPr>
              <w:t>Direktiva Seveso III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spacing w:before="120"/>
              <w:ind w:left="-108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lastRenderedPageBreak/>
              <w:t>3.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Uredba (EZ) br. 166/2006 Evropskog parlamenta i Savjeta od 18. januara 2006. godine o uspostavljanju evropskog registra ispuštanja i prenosa zagađujućih materija koja izmjenjuje i dopunjava Direktive Savjeta 91/689/EEZ i 96/61/EZ, izmijenjena i dopunjena Uredbom (EZ) br. 596/2009 Evropskog parlamenta i Savjeta od 18. juna 2009. godine - </w:t>
            </w:r>
            <w:r w:rsidRPr="005D4B38">
              <w:rPr>
                <w:rFonts w:cs="Arial"/>
                <w:b/>
                <w:bCs/>
                <w:lang w:val="hr-HR"/>
              </w:rPr>
              <w:t>E-PRTR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spacing w:before="120"/>
              <w:ind w:left="-108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4.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Uredba (EZ) br. 1221/2009 Evropskog parlamenta i Savjeta od 25. novembra 2009. godine o dobrovoljnom učešću organizacija u sistemu eko-upravljanja i revizije - </w:t>
            </w:r>
            <w:r w:rsidRPr="005D4B38">
              <w:rPr>
                <w:rFonts w:cs="Arial"/>
                <w:b/>
                <w:bCs/>
                <w:lang w:val="hr-HR"/>
              </w:rPr>
              <w:t>EMAS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spacing w:before="120"/>
              <w:ind w:left="-108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5.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Uredba (EZ) br. 66/2010 Evropskog parlamenta i Savjeta od 25. novembra 2009. godine o EU Ecolabel - 2012/481/EU: Odluka Komisije od 16. avgusta 2012. godine o ekološkim kriterijumima za dodjelu EU Ecolabel-a za štampani papir - 2012/448/EU: Odluka Komisije od 12. jula 2012. godine o ekološkim kriterijumima za dodjelu EU Ecolabel-a za novinski papir - </w:t>
            </w:r>
            <w:r w:rsidRPr="005D4B38">
              <w:rPr>
                <w:rFonts w:cs="Arial"/>
                <w:b/>
                <w:bCs/>
                <w:lang w:val="hr-HR"/>
              </w:rPr>
              <w:t>Eko-oznaka</w:t>
            </w:r>
          </w:p>
        </w:tc>
      </w:tr>
    </w:tbl>
    <w:p w:rsidR="00D35638" w:rsidRPr="005D4B38" w:rsidRDefault="00D35638" w:rsidP="00D35638">
      <w:pPr>
        <w:pStyle w:val="Heading2"/>
        <w:numPr>
          <w:ilvl w:val="0"/>
          <w:numId w:val="0"/>
        </w:numPr>
        <w:rPr>
          <w:rStyle w:val="Title1"/>
        </w:rPr>
      </w:pPr>
      <w:bookmarkStart w:id="31" w:name="_Toc265428029"/>
      <w:bookmarkStart w:id="32" w:name="_Toc265427547"/>
      <w:bookmarkStart w:id="33" w:name="_Toc265426738"/>
      <w:bookmarkStart w:id="34" w:name="_Toc264883916"/>
      <w:bookmarkStart w:id="35" w:name="_Toc400713135"/>
      <w:r w:rsidRPr="005D4B38">
        <w:rPr>
          <w:rStyle w:val="Title1"/>
        </w:rPr>
        <w:t>HEMIKALIJE</w:t>
      </w:r>
      <w:bookmarkEnd w:id="31"/>
      <w:bookmarkEnd w:id="32"/>
      <w:bookmarkEnd w:id="33"/>
      <w:bookmarkEnd w:id="34"/>
      <w:bookmarkEnd w:id="3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12315"/>
      </w:tblGrid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spacing w:before="120" w:after="120"/>
              <w:ind w:left="-108"/>
              <w:jc w:val="center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1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numPr>
                <w:ilvl w:val="12"/>
                <w:numId w:val="0"/>
              </w:numPr>
              <w:tabs>
                <w:tab w:val="left" w:pos="-828"/>
                <w:tab w:val="left" w:pos="240"/>
                <w:tab w:val="left" w:pos="480"/>
                <w:tab w:val="left" w:pos="960"/>
                <w:tab w:val="left" w:pos="1440"/>
                <w:tab w:val="left" w:pos="1876"/>
                <w:tab w:val="left" w:pos="2596"/>
                <w:tab w:val="left" w:pos="3316"/>
                <w:tab w:val="left" w:pos="4036"/>
                <w:tab w:val="left" w:pos="4756"/>
                <w:tab w:val="left" w:pos="5476"/>
                <w:tab w:val="left" w:pos="6196"/>
                <w:tab w:val="left" w:pos="6916"/>
                <w:tab w:val="left" w:pos="7636"/>
                <w:tab w:val="left" w:pos="8356"/>
                <w:tab w:val="left" w:pos="9076"/>
                <w:tab w:val="left" w:pos="979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67/548/EEZ o klasifikaciji, označavanju i pakovanju opasnih materija (sa izmjenama, usvojena verzija), koja će biti efektivno opozvana 1. juna 2015. godine Uredbom (EZ) br. 1272/2008 Evropskog parlamenta i Savjeta od 16. decembra 2008. godine o klasifikaciji, označavanju i pakovanju </w:t>
            </w:r>
            <w:r w:rsidRPr="0074679A">
              <w:rPr>
                <w:rFonts w:cs="Arial"/>
                <w:lang w:val="hr-HR"/>
              </w:rPr>
              <w:t>supstanci i smješa</w:t>
            </w:r>
          </w:p>
        </w:tc>
      </w:tr>
      <w:tr w:rsidR="00D35638" w:rsidRPr="005D4B38" w:rsidTr="00D35638">
        <w:trPr>
          <w:cantSplit/>
          <w:trHeight w:val="602"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spacing w:before="120" w:after="120"/>
              <w:ind w:left="-108"/>
              <w:jc w:val="center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2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numPr>
                <w:ilvl w:val="12"/>
                <w:numId w:val="0"/>
              </w:numPr>
              <w:tabs>
                <w:tab w:val="left" w:pos="-828"/>
                <w:tab w:val="left" w:pos="240"/>
                <w:tab w:val="left" w:pos="480"/>
                <w:tab w:val="left" w:pos="960"/>
                <w:tab w:val="left" w:pos="1440"/>
                <w:tab w:val="left" w:pos="1876"/>
                <w:tab w:val="left" w:pos="2596"/>
                <w:tab w:val="left" w:pos="3316"/>
                <w:tab w:val="left" w:pos="4036"/>
                <w:tab w:val="left" w:pos="4756"/>
                <w:tab w:val="left" w:pos="5476"/>
                <w:tab w:val="left" w:pos="6196"/>
                <w:tab w:val="left" w:pos="6916"/>
                <w:tab w:val="left" w:pos="7636"/>
                <w:tab w:val="left" w:pos="8356"/>
                <w:tab w:val="left" w:pos="9076"/>
                <w:tab w:val="left" w:pos="979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1999/45/EZ o klasifikaciji, označavanju i pakovanju opasnih pripravaka, sa izmjenama, koja će biti efektivno opozvana 1. juna 2015. godine Uredbom (EZ) br. 1272/2008 Evropskog parlamenta i Savjeta od 16. decembra 2008. godine o klasifikaciji, označavanju i pakovanju </w:t>
            </w:r>
            <w:r w:rsidRPr="0074679A">
              <w:rPr>
                <w:rFonts w:cs="Arial"/>
                <w:lang w:val="hr-HR"/>
              </w:rPr>
              <w:t>supstanci i smješa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spacing w:before="120" w:after="120"/>
              <w:ind w:left="-108"/>
              <w:jc w:val="center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lastRenderedPageBreak/>
              <w:t>3.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numPr>
                <w:ilvl w:val="12"/>
                <w:numId w:val="0"/>
              </w:numPr>
              <w:tabs>
                <w:tab w:val="left" w:pos="-828"/>
                <w:tab w:val="left" w:pos="240"/>
                <w:tab w:val="left" w:pos="480"/>
                <w:tab w:val="left" w:pos="960"/>
                <w:tab w:val="left" w:pos="1440"/>
                <w:tab w:val="left" w:pos="1876"/>
                <w:tab w:val="left" w:pos="2596"/>
                <w:tab w:val="left" w:pos="3316"/>
                <w:tab w:val="left" w:pos="4036"/>
                <w:tab w:val="left" w:pos="4756"/>
                <w:tab w:val="left" w:pos="5476"/>
                <w:tab w:val="left" w:pos="6196"/>
                <w:tab w:val="left" w:pos="6916"/>
                <w:tab w:val="left" w:pos="7636"/>
                <w:tab w:val="left" w:pos="8356"/>
                <w:tab w:val="left" w:pos="9076"/>
                <w:tab w:val="left" w:pos="979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Uredba (EZ) br. EZ/1907/2006  o registraciji, procjeni, </w:t>
            </w:r>
            <w:r w:rsidRPr="0074679A">
              <w:rPr>
                <w:rFonts w:cs="Arial"/>
                <w:lang w:val="hr-HR"/>
              </w:rPr>
              <w:t>odobrenjima</w:t>
            </w:r>
            <w:r>
              <w:rPr>
                <w:rFonts w:cs="Arial"/>
                <w:lang w:val="hr-HR"/>
              </w:rPr>
              <w:t xml:space="preserve"> </w:t>
            </w:r>
            <w:r w:rsidRPr="005D4B38">
              <w:rPr>
                <w:rFonts w:cs="Arial"/>
                <w:lang w:val="hr-HR"/>
              </w:rPr>
              <w:t>i restrikcijama hemikalija (REACH), kojom se uspostavlja Evropska agencija za hemikalije (koja izmjenjuje Direktivu 1999/45/EZ i opoziva Uredbu Savjeta (EEZ) br. 793/93 i Uredbe Komisije (EZ) br. EZ/1488/94, 1354/2007, 987/2008, 1272/2008, 1341/2009 i 552/2009, kao i Direktivu Savjeta 76/769/EEZ and Direktive Komisije 91/155/EEZ, 93/67/EEZ, 93/105/EZ i 2000/21/EZ) –</w:t>
            </w:r>
            <w:r w:rsidRPr="005D4B38">
              <w:rPr>
                <w:rFonts w:cs="Arial"/>
                <w:b/>
                <w:bCs/>
                <w:lang w:val="hr-HR"/>
              </w:rPr>
              <w:t xml:space="preserve"> REACH, </w:t>
            </w:r>
            <w:r w:rsidRPr="005D4B38">
              <w:rPr>
                <w:rFonts w:cs="Arial"/>
                <w:lang w:val="hr-HR"/>
              </w:rPr>
              <w:t xml:space="preserve">uz izmjene iz: Uredba Savjeta (EZ) br. 1354/2007 od 15. novembra 2007. godine; Uredba (EZ) br. 1272/2008 Evropskog parlamenta i Savjeta od 16. decembra 2008. godine; Uredba Komisije (EZ) br. 134/2009 od 16. februara 2009. godine; Uredba Komisije (EZ) br. 552/2009 od 22, juna 2009. godine; Uredba Komisije (EU) br. 276/2010 od 31. marta 2010. godine; Uredba Komisije (EU) br. 453/2010 od 20. maja 2010. godine; Uredba Komisije (EU) br. 143/2011 od 17. februara 2011. godine; Uredba Komisije (EU) br. 207/2011 od 2. marta 2011. godine; Uredba Komisije (EU) br. 252/2011 od 15. marta 2011. godine; Uredba Komisije (EU) br. 253/2011 od 15. marta 2011. godine; Uredba Komisije (EU) br. 366/2011 od 14. aprila 2011. godine; Uredba Komisije (EU) br. 494/2011 od 20, maja 2011. godine; Uredba Komisije (EU) br. 109/2012 od 9. februara 2012. godine; Uredba Komisije (EU) br. 125/2012 od 14. februara 2012. godine; Uredba Komisije (EU) br. 412/2012 od 15. maja 2012. godine; Uredba Komisije (EU) br. 835/2012 od 18. septembra 2012. godine; Uredba Komisije (EU) br. 836/2012 od 18. septembra 2012. godine; Uredba Komisije (EU) br. 126/2013 od 13. februara 2013. godine; Uredba Komisije (EU) br. 348/2013 od 17. aprila 2013. godine; Uredba Savjeta (EU) br. 517/2013 od 13. maja 2013. </w:t>
            </w:r>
            <w:r>
              <w:rPr>
                <w:rFonts w:cs="Arial"/>
                <w:lang w:val="hr-HR"/>
              </w:rPr>
              <w:t>g</w:t>
            </w:r>
            <w:r w:rsidRPr="0074679A">
              <w:rPr>
                <w:rFonts w:cs="Arial"/>
                <w:lang w:val="hr-HR"/>
              </w:rPr>
              <w:t>odine</w:t>
            </w:r>
            <w:r>
              <w:rPr>
                <w:rFonts w:cs="Arial"/>
                <w:lang w:val="hr-HR"/>
              </w:rPr>
              <w:t xml:space="preserve">; </w:t>
            </w:r>
            <w:r w:rsidRPr="0074679A">
              <w:rPr>
                <w:rFonts w:cs="Arial"/>
                <w:lang w:val="hr-HR"/>
              </w:rPr>
              <w:t>; Uredba Komisije (EU) br. 1272/2013 od 6. decembra 2013. godine; Uredba Komisije (EU) br. 301/2014 od 25. marta 2014. godine; Uredba Komisije (EU) br. 317/2014 od 27. marta 2014. godine; Uredba Komisije (EU) br. 474/2014 od 8. maja 2014. godine; Uredba Komisije (EU) br. 895/2014 od 14. avgusta 2014. godine; Uredba Komisije (EU) br. 2015/282 od 2. februara 2015. godine; Uredba Komisije (EU) br. 2015/326 od 2. marta 2015. godine; Uredba Komisije (EU) br. 2015/628 od 22. aprila 2015. godine; Uredba Komisije (EU) br. 2015/830 od 28. maja 2015. godine; Uredba Komisije (EU) br. 2015/1494 od 4. septembra 2015. godine; Uredba Komisije (EU) br. 2016/26 od 13. januara 2016. godine; Uredba Komisije (EU) br. 2016/217 od 16. februara 2016. godine; Uredba Komisije (EU) br. 2016/863 od 31. maja 2016. godine; Uredba Komisije (EU) br. 2016/1005 od 22. juna 2016. godine; Uredba Komisije (EU) br. 2016/1017 od 23. juna 2016. godine; Uredba Komisije (EU) 2016/1688 od 20. septembra 2016. godine; Uredba Komisije (EU) 2016/2235 od 12. decembra 2016. godine; Uredba Komisije (EU) 2017/227 od 9. februar 2017. godina.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74679A" w:rsidRDefault="00D35638" w:rsidP="00397C02">
            <w:pPr>
              <w:spacing w:before="120" w:after="120"/>
              <w:ind w:left="-108"/>
              <w:jc w:val="center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4.</w:t>
            </w:r>
          </w:p>
        </w:tc>
        <w:tc>
          <w:tcPr>
            <w:tcW w:w="4755" w:type="pct"/>
          </w:tcPr>
          <w:p w:rsidR="00D35638" w:rsidRPr="0074679A" w:rsidRDefault="00D35638" w:rsidP="00397C02">
            <w:pPr>
              <w:numPr>
                <w:ilvl w:val="12"/>
                <w:numId w:val="0"/>
              </w:numPr>
              <w:tabs>
                <w:tab w:val="left" w:pos="-828"/>
                <w:tab w:val="left" w:pos="240"/>
                <w:tab w:val="left" w:pos="480"/>
                <w:tab w:val="left" w:pos="960"/>
                <w:tab w:val="left" w:pos="1440"/>
                <w:tab w:val="left" w:pos="1876"/>
                <w:tab w:val="left" w:pos="2596"/>
                <w:tab w:val="left" w:pos="3316"/>
                <w:tab w:val="left" w:pos="4036"/>
                <w:tab w:val="left" w:pos="4756"/>
                <w:tab w:val="left" w:pos="5476"/>
                <w:tab w:val="left" w:pos="6196"/>
                <w:tab w:val="left" w:pos="6916"/>
                <w:tab w:val="left" w:pos="7636"/>
                <w:tab w:val="left" w:pos="8356"/>
                <w:tab w:val="left" w:pos="9076"/>
                <w:tab w:val="left" w:pos="979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hr-HR"/>
              </w:rPr>
            </w:pPr>
            <w:r w:rsidRPr="0074679A">
              <w:rPr>
                <w:rFonts w:cs="Arial"/>
                <w:lang w:val="hr-HR"/>
              </w:rPr>
              <w:t>Uredba (EZ) br. 1272/2008 Evropskog parlamenta i Savjeta od 16. decembra 2008. godine o klasifikaciji, obilježavanju i pakovanju supstanci i smješa – CLP, uz izmjene iz: Uredba Komisije (EZ) br. 790/2009 od 10. avgusta 2009. godine; Uredba Komisije (EU) br. 286/2011 od 10. marta 2011. godine; Uredba Komisije (EU) br. 618/2012 od 10. jula 2012. godine; Uredba Komisije (EU) br. 487/2013 od 8. maja 2013. godine; Uredba Komisije (EU) br. 517/2013 od 13. maja 2013. godine; Uredba Komisije (EU) br. 758/2013 od 7. avgusta 2013. godine; Uredba Komisije (EU) br. 944/2013 od 2. oktobra 2013. godine; Uredba Komisije (EU) br. 605/2014 od 5. juna 2014. godine; Uredba Komisije (EU) br. 1297/2014 od 5. decembra 2014. godine; Uredba Komisije (EU) br. 2015/1221 od 24. jula 2015. godine; Uredba Komisije (EU) br. 2016/918 od 19. maja 2016. godine; Uredba Komisije (EU) 2016/1179 od 19. jula 2016. godin</w:t>
            </w:r>
            <w:r>
              <w:rPr>
                <w:rFonts w:cs="Arial"/>
                <w:lang w:val="hr-HR"/>
              </w:rPr>
              <w:t>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spacing w:before="120" w:after="120"/>
              <w:ind w:left="-108"/>
              <w:jc w:val="center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5.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numPr>
                <w:ilvl w:val="12"/>
                <w:numId w:val="0"/>
              </w:numPr>
              <w:tabs>
                <w:tab w:val="left" w:pos="-828"/>
                <w:tab w:val="left" w:pos="240"/>
                <w:tab w:val="left" w:pos="480"/>
                <w:tab w:val="left" w:pos="960"/>
                <w:tab w:val="left" w:pos="1440"/>
                <w:tab w:val="left" w:pos="1876"/>
                <w:tab w:val="left" w:pos="2596"/>
                <w:tab w:val="left" w:pos="3316"/>
                <w:tab w:val="left" w:pos="4036"/>
                <w:tab w:val="left" w:pos="4756"/>
                <w:tab w:val="left" w:pos="5476"/>
                <w:tab w:val="left" w:pos="6196"/>
                <w:tab w:val="left" w:pos="6916"/>
                <w:tab w:val="left" w:pos="7636"/>
                <w:tab w:val="left" w:pos="8356"/>
                <w:tab w:val="left" w:pos="9076"/>
                <w:tab w:val="left" w:pos="979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Uredba (EU) br. 649/2012 Evropskog parlamenta i Savjeta od 4. jula 2012. godine o izvozu i uvozu opasnih hemikalija (opoziva Uredbu EZ/689/2008).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spacing w:before="120" w:after="120"/>
              <w:ind w:left="-108"/>
              <w:jc w:val="center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lastRenderedPageBreak/>
              <w:t>6.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numPr>
                <w:ilvl w:val="12"/>
                <w:numId w:val="0"/>
              </w:numPr>
              <w:tabs>
                <w:tab w:val="left" w:pos="-828"/>
                <w:tab w:val="left" w:pos="240"/>
                <w:tab w:val="left" w:pos="480"/>
                <w:tab w:val="left" w:pos="960"/>
                <w:tab w:val="left" w:pos="1440"/>
                <w:tab w:val="left" w:pos="1876"/>
                <w:tab w:val="left" w:pos="2596"/>
                <w:tab w:val="left" w:pos="3316"/>
                <w:tab w:val="left" w:pos="4036"/>
                <w:tab w:val="left" w:pos="4756"/>
                <w:tab w:val="left" w:pos="5476"/>
                <w:tab w:val="left" w:pos="6196"/>
                <w:tab w:val="left" w:pos="6916"/>
                <w:tab w:val="left" w:pos="7636"/>
                <w:tab w:val="left" w:pos="8356"/>
                <w:tab w:val="left" w:pos="9076"/>
                <w:tab w:val="left" w:pos="979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Uredba (EZ) br. 2037/2000 Evropskog parlamenta i Savjeta od 29. juna 2000. godine </w:t>
            </w:r>
            <w:r w:rsidRPr="00450995">
              <w:rPr>
                <w:rFonts w:cs="Arial"/>
                <w:lang w:val="hr-HR"/>
              </w:rPr>
              <w:t xml:space="preserve">o supstancama </w:t>
            </w:r>
            <w:r w:rsidRPr="005D4B38">
              <w:rPr>
                <w:rFonts w:cs="Arial"/>
                <w:lang w:val="hr-HR"/>
              </w:rPr>
              <w:t>koje oštećuju ozonski omotač, izmijenjena sljedećim:</w:t>
            </w:r>
          </w:p>
          <w:p w:rsidR="00D35638" w:rsidRPr="005D4B38" w:rsidRDefault="00D35638" w:rsidP="00397C02">
            <w:pPr>
              <w:numPr>
                <w:ilvl w:val="12"/>
                <w:numId w:val="0"/>
              </w:numPr>
              <w:tabs>
                <w:tab w:val="left" w:pos="-828"/>
                <w:tab w:val="left" w:pos="240"/>
                <w:tab w:val="left" w:pos="480"/>
                <w:tab w:val="left" w:pos="960"/>
                <w:tab w:val="left" w:pos="1440"/>
                <w:tab w:val="left" w:pos="1876"/>
                <w:tab w:val="left" w:pos="2596"/>
                <w:tab w:val="left" w:pos="3316"/>
                <w:tab w:val="left" w:pos="4036"/>
                <w:tab w:val="left" w:pos="4756"/>
                <w:tab w:val="left" w:pos="5476"/>
                <w:tab w:val="left" w:pos="6196"/>
                <w:tab w:val="left" w:pos="6916"/>
                <w:tab w:val="left" w:pos="7636"/>
                <w:tab w:val="left" w:pos="8356"/>
                <w:tab w:val="left" w:pos="9076"/>
                <w:tab w:val="left" w:pos="979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Uredbom (EZ) br. 2038/2000; Uredbom (EZ) br. 2039/2000; Odlukom 2003/160/EZ; Uredbom (EZ) br. 1804/2003; odlukom 2004/232/EZ; Uredbom (EZ) br. 2077/2004; Uredbom (EZ) br. 29/2006; Uredbom (EZ) br. 1366/2006; Uredbom (EZ) br. 1784/2006; Uredbom (EZ) br. 1791/2006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spacing w:before="120" w:after="120"/>
              <w:ind w:left="-108"/>
              <w:jc w:val="center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7.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numPr>
                <w:ilvl w:val="12"/>
                <w:numId w:val="0"/>
              </w:numPr>
              <w:tabs>
                <w:tab w:val="left" w:pos="-828"/>
                <w:tab w:val="left" w:pos="240"/>
                <w:tab w:val="left" w:pos="480"/>
                <w:tab w:val="left" w:pos="960"/>
                <w:tab w:val="left" w:pos="1440"/>
                <w:tab w:val="left" w:pos="1876"/>
                <w:tab w:val="left" w:pos="2596"/>
                <w:tab w:val="left" w:pos="3316"/>
                <w:tab w:val="left" w:pos="4036"/>
                <w:tab w:val="left" w:pos="4756"/>
                <w:tab w:val="left" w:pos="5476"/>
                <w:tab w:val="left" w:pos="6196"/>
                <w:tab w:val="left" w:pos="6916"/>
                <w:tab w:val="left" w:pos="7636"/>
                <w:tab w:val="left" w:pos="8356"/>
                <w:tab w:val="left" w:pos="9076"/>
                <w:tab w:val="left" w:pos="979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Uredba EZ/689/2008 Evropskog parlamenta i Savjeta od 17. juna 2008. godine o izvozu i uvozu opasnih hemikalija (zamjenjuje: Uredbu (EZ) 304/2003 o uvozu i izvozu opasnih hemikalija, uz izmjene Uredbom (EZ) 1213/2003, 775/2004 and (EZ) 777/2006)</w:t>
            </w:r>
          </w:p>
        </w:tc>
      </w:tr>
      <w:tr w:rsidR="00D35638" w:rsidRPr="00450995" w:rsidTr="00D35638">
        <w:trPr>
          <w:cantSplit/>
        </w:trPr>
        <w:tc>
          <w:tcPr>
            <w:tcW w:w="245" w:type="pct"/>
            <w:vAlign w:val="center"/>
          </w:tcPr>
          <w:p w:rsidR="00D35638" w:rsidRPr="00450995" w:rsidRDefault="00D35638" w:rsidP="00397C02">
            <w:pPr>
              <w:spacing w:before="120" w:after="120"/>
              <w:ind w:left="-108"/>
              <w:jc w:val="center"/>
              <w:rPr>
                <w:rFonts w:cs="Arial"/>
                <w:lang w:val="hr-HR"/>
              </w:rPr>
            </w:pPr>
            <w:r w:rsidRPr="00450995">
              <w:rPr>
                <w:rFonts w:cs="Arial"/>
                <w:lang w:val="hr-HR"/>
              </w:rPr>
              <w:t>8.</w:t>
            </w:r>
          </w:p>
        </w:tc>
        <w:tc>
          <w:tcPr>
            <w:tcW w:w="4755" w:type="pct"/>
          </w:tcPr>
          <w:p w:rsidR="00D35638" w:rsidRPr="00450995" w:rsidRDefault="00D35638" w:rsidP="00397C02">
            <w:pPr>
              <w:numPr>
                <w:ilvl w:val="12"/>
                <w:numId w:val="0"/>
              </w:numPr>
              <w:tabs>
                <w:tab w:val="left" w:pos="-828"/>
                <w:tab w:val="left" w:pos="240"/>
                <w:tab w:val="left" w:pos="480"/>
                <w:tab w:val="left" w:pos="960"/>
                <w:tab w:val="left" w:pos="1440"/>
                <w:tab w:val="left" w:pos="1876"/>
                <w:tab w:val="left" w:pos="2596"/>
                <w:tab w:val="left" w:pos="3316"/>
                <w:tab w:val="left" w:pos="4036"/>
                <w:tab w:val="left" w:pos="4756"/>
                <w:tab w:val="left" w:pos="5476"/>
                <w:tab w:val="left" w:pos="6196"/>
                <w:tab w:val="left" w:pos="6916"/>
                <w:tab w:val="left" w:pos="7636"/>
                <w:tab w:val="left" w:pos="8356"/>
                <w:tab w:val="left" w:pos="9076"/>
                <w:tab w:val="left" w:pos="979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hr-HR"/>
              </w:rPr>
            </w:pPr>
            <w:r w:rsidRPr="00450995">
              <w:t xml:space="preserve">Uredba (EK) br. 850/2004 </w:t>
            </w:r>
            <w:r w:rsidRPr="00450995">
              <w:rPr>
                <w:i/>
                <w:iCs/>
                <w:lang w:val="hr-HR"/>
              </w:rPr>
              <w:t>Evropskog parlamenta i Savjeta od</w:t>
            </w:r>
            <w:r w:rsidRPr="00450995">
              <w:t xml:space="preserve"> 29 aprila 2004 o postojanim organskim zagađujućim materijama i amandmanima Directive 79/117/EEC kao i amandmanima Uredbe Savjeta (EK) br. 1195/2006, 172/2007 i 323/2007</w:t>
            </w:r>
            <w:r w:rsidRPr="00450995">
              <w:rPr>
                <w:lang w:val="en"/>
              </w:rPr>
              <w:t xml:space="preserve">, </w:t>
            </w:r>
            <w:r w:rsidRPr="00450995">
              <w:t xml:space="preserve">Uredbe (EK) </w:t>
            </w:r>
            <w:hyperlink r:id="rId8" w:history="1">
              <w:r w:rsidRPr="00450995">
                <w:rPr>
                  <w:lang w:val="en"/>
                </w:rPr>
                <w:t>2016/293/EU</w:t>
              </w:r>
            </w:hyperlink>
            <w:r w:rsidRPr="00450995">
              <w:rPr>
                <w:lang w:val="en"/>
              </w:rPr>
              <w:t xml:space="preserve"> i </w:t>
            </w:r>
            <w:hyperlink r:id="rId9" w:history="1">
              <w:r w:rsidRPr="00450995">
                <w:rPr>
                  <w:lang w:val="en"/>
                </w:rPr>
                <w:t xml:space="preserve"> 2016/460/EU</w:t>
              </w:r>
            </w:hyperlink>
            <w:r w:rsidRPr="00450995">
              <w:rPr>
                <w:lang w:val="en"/>
              </w:rPr>
              <w:t xml:space="preserve"> amandmani  Aneksa I, IV i V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spacing w:before="120" w:after="120"/>
              <w:ind w:left="-108"/>
              <w:jc w:val="center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9</w:t>
            </w:r>
            <w:r w:rsidRPr="005D4B38">
              <w:rPr>
                <w:rFonts w:cs="Arial"/>
                <w:lang w:val="hr-HR"/>
              </w:rPr>
              <w:t>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numPr>
                <w:ilvl w:val="12"/>
                <w:numId w:val="0"/>
              </w:numPr>
              <w:tabs>
                <w:tab w:val="left" w:pos="-828"/>
                <w:tab w:val="left" w:pos="240"/>
                <w:tab w:val="left" w:pos="480"/>
                <w:tab w:val="left" w:pos="960"/>
                <w:tab w:val="left" w:pos="1440"/>
                <w:tab w:val="left" w:pos="1876"/>
                <w:tab w:val="left" w:pos="2596"/>
                <w:tab w:val="left" w:pos="3316"/>
                <w:tab w:val="left" w:pos="4036"/>
                <w:tab w:val="left" w:pos="4756"/>
                <w:tab w:val="left" w:pos="5476"/>
                <w:tab w:val="left" w:pos="6196"/>
                <w:tab w:val="left" w:pos="6916"/>
                <w:tab w:val="left" w:pos="7636"/>
                <w:tab w:val="left" w:pos="8356"/>
                <w:tab w:val="left" w:pos="9076"/>
                <w:tab w:val="left" w:pos="979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Uredba (EZ) br. 648/2004 Evropskog parlamenta i Vijeća od 31. marta 2004. godine o deterdžentima, izmijenjena Uredbom Komisije (EZ) br. 907/2006 od 20. juna 2006. godine, Uredbom (EZ) br. 1336/2008 Evropskog parlamenta i Savjeta od 16. decembra 2008. godine, Uredbom (EZ) br. 219/2009 Evropskog parlamenta i Savjeta od 11. marta 2009. godine, Uredbom Komisije (EZ) br. 551/2009 od 25. juna 2009. godine, Uredbom (EU) br. 259/2012 Evropskog parlamenta i Savjeta od 14. marta 2012. godine.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spacing w:before="120" w:after="120"/>
              <w:ind w:left="-108"/>
              <w:jc w:val="center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10</w:t>
            </w:r>
            <w:r w:rsidRPr="005D4B38">
              <w:rPr>
                <w:rFonts w:cs="Arial"/>
                <w:lang w:val="hr-HR"/>
              </w:rPr>
              <w:t>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numPr>
                <w:ilvl w:val="12"/>
                <w:numId w:val="0"/>
              </w:numPr>
              <w:tabs>
                <w:tab w:val="left" w:pos="-828"/>
                <w:tab w:val="left" w:pos="240"/>
                <w:tab w:val="left" w:pos="480"/>
                <w:tab w:val="left" w:pos="960"/>
                <w:tab w:val="left" w:pos="1440"/>
                <w:tab w:val="left" w:pos="1876"/>
                <w:tab w:val="left" w:pos="2596"/>
                <w:tab w:val="left" w:pos="3316"/>
                <w:tab w:val="left" w:pos="4036"/>
                <w:tab w:val="left" w:pos="4756"/>
                <w:tab w:val="left" w:pos="5476"/>
                <w:tab w:val="left" w:pos="6196"/>
                <w:tab w:val="left" w:pos="6916"/>
                <w:tab w:val="left" w:pos="7636"/>
                <w:tab w:val="left" w:pos="8356"/>
                <w:tab w:val="left" w:pos="9076"/>
                <w:tab w:val="left" w:pos="979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Direktiva 87/217/EEZ od 19. marta 1987. godine o prevenciji i smanjenju zagađenja okoliša/životne sredine azbestom, uz izmjene iz Direktive 91/692/EEZ i Uredbe EZ/807/2003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450995" w:rsidRDefault="00D35638" w:rsidP="00397C02">
            <w:pPr>
              <w:spacing w:before="120" w:after="120"/>
              <w:ind w:left="-108"/>
              <w:jc w:val="center"/>
              <w:rPr>
                <w:rFonts w:cs="Arial"/>
                <w:lang w:val="hr-HR"/>
              </w:rPr>
            </w:pPr>
            <w:r w:rsidRPr="00450995">
              <w:rPr>
                <w:rFonts w:cs="Arial"/>
                <w:lang w:val="hr-HR"/>
              </w:rPr>
              <w:t>11.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numPr>
                <w:ilvl w:val="12"/>
                <w:numId w:val="0"/>
              </w:numPr>
              <w:tabs>
                <w:tab w:val="left" w:pos="-828"/>
                <w:tab w:val="left" w:pos="240"/>
                <w:tab w:val="left" w:pos="480"/>
                <w:tab w:val="left" w:pos="960"/>
                <w:tab w:val="left" w:pos="1440"/>
                <w:tab w:val="left" w:pos="1876"/>
                <w:tab w:val="left" w:pos="2596"/>
                <w:tab w:val="left" w:pos="3316"/>
                <w:tab w:val="left" w:pos="4036"/>
                <w:tab w:val="left" w:pos="4756"/>
                <w:tab w:val="left" w:pos="5476"/>
                <w:tab w:val="left" w:pos="6196"/>
                <w:tab w:val="left" w:pos="6916"/>
                <w:tab w:val="left" w:pos="7636"/>
                <w:tab w:val="left" w:pos="8356"/>
                <w:tab w:val="left" w:pos="9076"/>
                <w:tab w:val="left" w:pos="979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hr-HR"/>
              </w:rPr>
            </w:pPr>
            <w:r w:rsidRPr="00450995">
              <w:rPr>
                <w:rFonts w:cs="Arial"/>
                <w:lang w:val="hr-HR"/>
              </w:rPr>
              <w:t xml:space="preserve">Direktiva 2004/10/EZ o principima dobre laboratorijske prakse i verifikacije njihove primjene pri ispitivanju hemijskih supstanci </w:t>
            </w:r>
            <w:r w:rsidRPr="00450995">
              <w:rPr>
                <w:rFonts w:cs="Arial"/>
                <w:szCs w:val="20"/>
                <w:lang w:val="hr-HR"/>
              </w:rPr>
              <w:t>(izmijenjena Uredbom (EZ) br. 219/2009)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spacing w:before="120" w:after="120"/>
              <w:ind w:left="-108"/>
              <w:jc w:val="center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1</w:t>
            </w:r>
            <w:r>
              <w:rPr>
                <w:rFonts w:cs="Arial"/>
                <w:lang w:val="hr-HR"/>
              </w:rPr>
              <w:t>2</w:t>
            </w:r>
            <w:r w:rsidRPr="005D4B38">
              <w:rPr>
                <w:rFonts w:cs="Arial"/>
                <w:lang w:val="hr-HR"/>
              </w:rPr>
              <w:t>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numPr>
                <w:ilvl w:val="12"/>
                <w:numId w:val="0"/>
              </w:numPr>
              <w:tabs>
                <w:tab w:val="left" w:pos="-828"/>
                <w:tab w:val="left" w:pos="240"/>
                <w:tab w:val="left" w:pos="480"/>
                <w:tab w:val="left" w:pos="960"/>
                <w:tab w:val="left" w:pos="1440"/>
                <w:tab w:val="left" w:pos="1876"/>
                <w:tab w:val="left" w:pos="2596"/>
                <w:tab w:val="left" w:pos="3316"/>
                <w:tab w:val="left" w:pos="4036"/>
                <w:tab w:val="left" w:pos="4756"/>
                <w:tab w:val="left" w:pos="5476"/>
                <w:tab w:val="left" w:pos="6196"/>
                <w:tab w:val="left" w:pos="6916"/>
                <w:tab w:val="left" w:pos="7636"/>
                <w:tab w:val="left" w:pos="8356"/>
                <w:tab w:val="left" w:pos="9076"/>
                <w:tab w:val="left" w:pos="979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Direktiva 2010/63/EU o zaštiti životinja koje se koriste za naučne svrhe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spacing w:before="120" w:after="120"/>
              <w:ind w:left="-108"/>
              <w:jc w:val="center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1</w:t>
            </w:r>
            <w:r>
              <w:rPr>
                <w:rFonts w:cs="Arial"/>
                <w:lang w:val="hr-HR"/>
              </w:rPr>
              <w:t>3</w:t>
            </w:r>
            <w:r w:rsidRPr="005D4B38">
              <w:rPr>
                <w:rFonts w:cs="Arial"/>
                <w:lang w:val="hr-HR"/>
              </w:rPr>
              <w:t>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numPr>
                <w:ilvl w:val="12"/>
                <w:numId w:val="0"/>
              </w:numPr>
              <w:tabs>
                <w:tab w:val="left" w:pos="-828"/>
                <w:tab w:val="left" w:pos="240"/>
                <w:tab w:val="left" w:pos="480"/>
                <w:tab w:val="left" w:pos="960"/>
                <w:tab w:val="left" w:pos="1440"/>
                <w:tab w:val="left" w:pos="1876"/>
                <w:tab w:val="left" w:pos="2596"/>
                <w:tab w:val="left" w:pos="3316"/>
                <w:tab w:val="left" w:pos="4036"/>
                <w:tab w:val="left" w:pos="4756"/>
                <w:tab w:val="left" w:pos="5476"/>
                <w:tab w:val="left" w:pos="6196"/>
                <w:tab w:val="left" w:pos="6916"/>
                <w:tab w:val="left" w:pos="7636"/>
                <w:tab w:val="left" w:pos="8356"/>
                <w:tab w:val="left" w:pos="9076"/>
                <w:tab w:val="left" w:pos="979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Direktiva 2009/128/EZ Evropskog parlamenta i Savjeta od 21. oktobra 2009. godine o uspostavljanju okvira za akciju Zajednice i postizanje održive upotrebe pesticida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vAlign w:val="center"/>
          </w:tcPr>
          <w:p w:rsidR="00D35638" w:rsidRPr="005D4B38" w:rsidRDefault="00D35638" w:rsidP="00397C02">
            <w:pPr>
              <w:spacing w:before="120" w:after="120"/>
              <w:ind w:left="-108"/>
              <w:jc w:val="center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1</w:t>
            </w:r>
            <w:r>
              <w:rPr>
                <w:rFonts w:cs="Arial"/>
                <w:lang w:val="hr-HR"/>
              </w:rPr>
              <w:t>4</w:t>
            </w:r>
            <w:r w:rsidRPr="005D4B38">
              <w:rPr>
                <w:rFonts w:cs="Arial"/>
                <w:lang w:val="hr-HR"/>
              </w:rPr>
              <w:t>.</w:t>
            </w:r>
          </w:p>
        </w:tc>
        <w:tc>
          <w:tcPr>
            <w:tcW w:w="4755" w:type="pct"/>
          </w:tcPr>
          <w:p w:rsidR="00D35638" w:rsidRPr="005D4B38" w:rsidRDefault="00D35638" w:rsidP="00397C02">
            <w:pPr>
              <w:numPr>
                <w:ilvl w:val="12"/>
                <w:numId w:val="0"/>
              </w:numPr>
              <w:tabs>
                <w:tab w:val="left" w:pos="-828"/>
                <w:tab w:val="left" w:pos="240"/>
                <w:tab w:val="left" w:pos="480"/>
                <w:tab w:val="left" w:pos="960"/>
                <w:tab w:val="left" w:pos="1440"/>
                <w:tab w:val="left" w:pos="1876"/>
                <w:tab w:val="left" w:pos="2596"/>
                <w:tab w:val="left" w:pos="3316"/>
                <w:tab w:val="left" w:pos="4036"/>
                <w:tab w:val="left" w:pos="4756"/>
                <w:tab w:val="left" w:pos="5476"/>
                <w:tab w:val="left" w:pos="6196"/>
                <w:tab w:val="left" w:pos="6916"/>
                <w:tab w:val="left" w:pos="7636"/>
                <w:tab w:val="left" w:pos="8356"/>
                <w:tab w:val="left" w:pos="9076"/>
                <w:tab w:val="left" w:pos="979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Uredba (EU) br. 528/2012 Evropskog parlamenta i Savjeta od 22. maja 2012. godine o stavljanju u promet i upotrebi biocidnih proizvoda, koja stavlja van snage Direktivu 98/8/EZ o stavljanju u promet biocidnih proizvoda</w:t>
            </w:r>
          </w:p>
        </w:tc>
      </w:tr>
      <w:tr w:rsidR="00D35638" w:rsidRPr="005D4B38" w:rsidTr="00D35638">
        <w:trPr>
          <w:cantSplit/>
        </w:trPr>
        <w:tc>
          <w:tcPr>
            <w:tcW w:w="245" w:type="pct"/>
            <w:shd w:val="clear" w:color="auto" w:fill="auto"/>
            <w:vAlign w:val="center"/>
          </w:tcPr>
          <w:p w:rsidR="00D35638" w:rsidRPr="00FA0C6C" w:rsidRDefault="00D35638" w:rsidP="00397C02">
            <w:pPr>
              <w:spacing w:before="120" w:after="120"/>
              <w:ind w:left="-108"/>
              <w:jc w:val="center"/>
              <w:rPr>
                <w:rFonts w:cs="Arial"/>
                <w:lang w:val="hr-HR"/>
              </w:rPr>
            </w:pPr>
            <w:r w:rsidRPr="00FA0C6C">
              <w:rPr>
                <w:rFonts w:cs="Arial"/>
                <w:lang w:val="hr-HR"/>
              </w:rPr>
              <w:t>15.</w:t>
            </w:r>
          </w:p>
        </w:tc>
        <w:tc>
          <w:tcPr>
            <w:tcW w:w="4755" w:type="pct"/>
            <w:shd w:val="clear" w:color="auto" w:fill="auto"/>
          </w:tcPr>
          <w:p w:rsidR="00D35638" w:rsidRPr="005D4B38" w:rsidRDefault="00D35638" w:rsidP="00397C02">
            <w:pPr>
              <w:numPr>
                <w:ilvl w:val="12"/>
                <w:numId w:val="0"/>
              </w:numPr>
              <w:tabs>
                <w:tab w:val="left" w:pos="-828"/>
                <w:tab w:val="left" w:pos="240"/>
                <w:tab w:val="left" w:pos="480"/>
                <w:tab w:val="left" w:pos="960"/>
                <w:tab w:val="left" w:pos="1440"/>
                <w:tab w:val="left" w:pos="1876"/>
                <w:tab w:val="left" w:pos="2596"/>
                <w:tab w:val="left" w:pos="3316"/>
                <w:tab w:val="left" w:pos="4036"/>
                <w:tab w:val="left" w:pos="4756"/>
                <w:tab w:val="left" w:pos="5476"/>
                <w:tab w:val="left" w:pos="6196"/>
                <w:tab w:val="left" w:pos="6916"/>
                <w:tab w:val="left" w:pos="7636"/>
                <w:tab w:val="left" w:pos="8356"/>
                <w:tab w:val="left" w:pos="9076"/>
                <w:tab w:val="left" w:pos="979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cs="Arial"/>
                <w:lang w:val="hr-HR"/>
              </w:rPr>
            </w:pPr>
            <w:r w:rsidRPr="00FA0C6C">
              <w:rPr>
                <w:rFonts w:cs="Arial"/>
                <w:lang w:val="hr-HR"/>
              </w:rPr>
              <w:t>Direktiva 2011/65/EU Evropskog parlamenta i Savjeta od 8. juna 2011. godine o zabrani upotrebe određenih opasnih supstanci u električnim i elektronskim uređajima</w:t>
            </w:r>
          </w:p>
        </w:tc>
      </w:tr>
    </w:tbl>
    <w:p w:rsidR="00D35638" w:rsidRPr="005D4B38" w:rsidRDefault="00D35638" w:rsidP="00D35638">
      <w:pPr>
        <w:pStyle w:val="Heading2"/>
        <w:numPr>
          <w:ilvl w:val="0"/>
          <w:numId w:val="0"/>
        </w:numPr>
        <w:rPr>
          <w:rStyle w:val="Title1"/>
        </w:rPr>
      </w:pPr>
      <w:bookmarkStart w:id="36" w:name="_Toc265428030"/>
      <w:bookmarkStart w:id="37" w:name="_Toc265427548"/>
      <w:bookmarkStart w:id="38" w:name="_Toc265426739"/>
      <w:bookmarkStart w:id="39" w:name="_Toc264883917"/>
      <w:bookmarkStart w:id="40" w:name="_Toc400713136"/>
      <w:r w:rsidRPr="005D4B38">
        <w:rPr>
          <w:rStyle w:val="Title1"/>
        </w:rPr>
        <w:lastRenderedPageBreak/>
        <w:t>ZAŠTITA PRIRODE</w:t>
      </w:r>
      <w:bookmarkEnd w:id="36"/>
      <w:bookmarkEnd w:id="37"/>
      <w:bookmarkEnd w:id="38"/>
      <w:bookmarkEnd w:id="39"/>
      <w:bookmarkEnd w:id="4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12336"/>
      </w:tblGrid>
      <w:tr w:rsidR="00D35638" w:rsidRPr="005D4B38" w:rsidTr="00D35638">
        <w:trPr>
          <w:cantSplit/>
        </w:trPr>
        <w:tc>
          <w:tcPr>
            <w:tcW w:w="237" w:type="pct"/>
            <w:vAlign w:val="center"/>
          </w:tcPr>
          <w:p w:rsidR="00D35638" w:rsidRPr="005D4B38" w:rsidRDefault="00D35638" w:rsidP="00397C02">
            <w:pPr>
              <w:tabs>
                <w:tab w:val="left" w:pos="-90"/>
              </w:tabs>
              <w:spacing w:before="120" w:after="120"/>
              <w:ind w:left="-90"/>
              <w:jc w:val="center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1</w:t>
            </w:r>
          </w:p>
        </w:tc>
        <w:tc>
          <w:tcPr>
            <w:tcW w:w="4763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Direktiva Savjeta 92/43/EEZ od 21. maja 1992. godine o konzervaciji prirodnih staništa i divlje faune i flore, uz izmjene iz Direktiva 97/62/EZ i 2006/105/EZ i Uredbe (EZ) 1882/2003</w:t>
            </w:r>
          </w:p>
        </w:tc>
      </w:tr>
      <w:tr w:rsidR="00D35638" w:rsidRPr="005D4B38" w:rsidTr="00D35638">
        <w:trPr>
          <w:cantSplit/>
        </w:trPr>
        <w:tc>
          <w:tcPr>
            <w:tcW w:w="237" w:type="pct"/>
            <w:vAlign w:val="center"/>
          </w:tcPr>
          <w:p w:rsidR="00D35638" w:rsidRPr="005D4B38" w:rsidRDefault="00D35638" w:rsidP="00397C02">
            <w:pPr>
              <w:tabs>
                <w:tab w:val="left" w:pos="-90"/>
              </w:tabs>
              <w:spacing w:before="120" w:after="120"/>
              <w:ind w:left="-90"/>
              <w:jc w:val="center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2</w:t>
            </w:r>
          </w:p>
        </w:tc>
        <w:tc>
          <w:tcPr>
            <w:tcW w:w="4763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2009/147/EZ Evropskog parlamenta i Savjeta od 30. novembra 2009. godine o konzervaciji divljih ptica (kodifikovana verzija Direktive 79/406/EZ i njenih izmjena) </w:t>
            </w:r>
          </w:p>
        </w:tc>
      </w:tr>
      <w:tr w:rsidR="00D35638" w:rsidRPr="005D4B38" w:rsidTr="00D35638">
        <w:trPr>
          <w:cantSplit/>
        </w:trPr>
        <w:tc>
          <w:tcPr>
            <w:tcW w:w="237" w:type="pct"/>
            <w:vAlign w:val="center"/>
          </w:tcPr>
          <w:p w:rsidR="00D35638" w:rsidRPr="005D4B38" w:rsidRDefault="00D35638" w:rsidP="00397C02">
            <w:pPr>
              <w:pStyle w:val="ListParagraph"/>
              <w:tabs>
                <w:tab w:val="left" w:pos="-90"/>
              </w:tabs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3.</w:t>
            </w:r>
          </w:p>
        </w:tc>
        <w:tc>
          <w:tcPr>
            <w:tcW w:w="4763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Uredba Savjeta (EZ) br. 338/97 od 9. decembra 1996. godine o zaštiti vrsta divlje faune i flore putem regulacije trgovine istima, izmijenjena Uredbama (EZ) 938/97, 2307/97, 2214/98, 1476/99, 2724/2000, 1579/2001, 2476/2001, 1497/2003, 1882/2003, 834/2004, 252/2005 i 1332/2005, 318/2008, 398/2009, 407/2009 i (EU) 101/2012, Uredbe Komisije (EZ) 865/2006 o detaljnim pravilima za provođenje Uredbe Savjeta (EZ) 338/97 - Provedbene uredbe Komisije (EU) 792/2012 od 23. avgusta 2012. o pravilima za izgled i sadržaj dozvola, potvrda i drugih dokumenata navedenih u Uredbi Savjeta 338/97 o zaštiti vrsta divlje faune i flore putem regulacije trgovine istima o izmjenama i dopunama Uredbe Komisije 865/2006 - Uredba Komisije (EU) br. 791/2012 od 23. avgusta 2012. godine o određenim odredbama o trgovini vrstama divlje faune i flore, Uredba (EZ) br. 865/2006 o detaljnim pravilima za provedbu Uredbe Savjeta (EZ) br. 338/97</w:t>
            </w:r>
          </w:p>
        </w:tc>
      </w:tr>
      <w:tr w:rsidR="00D35638" w:rsidRPr="005D4B38" w:rsidTr="00D35638">
        <w:trPr>
          <w:cantSplit/>
        </w:trPr>
        <w:tc>
          <w:tcPr>
            <w:tcW w:w="237" w:type="pct"/>
            <w:vAlign w:val="center"/>
          </w:tcPr>
          <w:p w:rsidR="00D35638" w:rsidRPr="005D4B38" w:rsidRDefault="00D35638" w:rsidP="00397C02">
            <w:pPr>
              <w:pStyle w:val="ListParagraph"/>
              <w:tabs>
                <w:tab w:val="left" w:pos="-90"/>
              </w:tabs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4.</w:t>
            </w:r>
          </w:p>
        </w:tc>
        <w:tc>
          <w:tcPr>
            <w:tcW w:w="4763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Direktiva Savjeta 1999/22/EZ od 29. marta 1999. godine o držanju divljih životinja u zoološkim vrtovima</w:t>
            </w:r>
          </w:p>
        </w:tc>
      </w:tr>
      <w:tr w:rsidR="00D35638" w:rsidRPr="005D4B38" w:rsidTr="00D35638">
        <w:trPr>
          <w:cantSplit/>
        </w:trPr>
        <w:tc>
          <w:tcPr>
            <w:tcW w:w="237" w:type="pct"/>
            <w:vAlign w:val="center"/>
          </w:tcPr>
          <w:p w:rsidR="00D35638" w:rsidRPr="005D4B38" w:rsidRDefault="00D35638" w:rsidP="00397C02">
            <w:pPr>
              <w:pStyle w:val="ListParagraph"/>
              <w:tabs>
                <w:tab w:val="left" w:pos="-90"/>
              </w:tabs>
              <w:spacing w:before="120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5.</w:t>
            </w:r>
          </w:p>
        </w:tc>
        <w:tc>
          <w:tcPr>
            <w:tcW w:w="4763" w:type="pct"/>
          </w:tcPr>
          <w:p w:rsidR="00D35638" w:rsidRPr="005D4B38" w:rsidRDefault="00D35638" w:rsidP="00397C02">
            <w:pPr>
              <w:spacing w:before="120"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Uredba Savjeta (EEZ) br. 3254/91 od 4. novembra 1991. godine o zabrani upotrebe nožnih klopki unutar Zajednice i unošenja u Zajednicu koža i proizvoda napravljenih od pojedinih vrsta divljih životinja porijeklom iz zemalja u kojima se ove životinje love nožnim i drugim klopkama koje ne odgovaraju međunarodnim standardima za humane klopke</w:t>
            </w:r>
          </w:p>
        </w:tc>
      </w:tr>
    </w:tbl>
    <w:p w:rsidR="00D35638" w:rsidRPr="005D4B38" w:rsidRDefault="00D35638" w:rsidP="00D35638">
      <w:pPr>
        <w:rPr>
          <w:lang w:val="hr-HR"/>
        </w:rPr>
      </w:pPr>
    </w:p>
    <w:p w:rsidR="00D35638" w:rsidRPr="005D4B38" w:rsidRDefault="00D35638" w:rsidP="00D35638">
      <w:pPr>
        <w:pStyle w:val="Heading2"/>
        <w:numPr>
          <w:ilvl w:val="0"/>
          <w:numId w:val="0"/>
        </w:numPr>
        <w:rPr>
          <w:rStyle w:val="Title1"/>
        </w:rPr>
      </w:pPr>
      <w:bookmarkStart w:id="41" w:name="_Toc265428031"/>
      <w:bookmarkStart w:id="42" w:name="_Toc265427549"/>
      <w:bookmarkStart w:id="43" w:name="_Toc265426740"/>
      <w:bookmarkStart w:id="44" w:name="_Toc264883918"/>
      <w:bookmarkStart w:id="45" w:name="_Toc400713137"/>
      <w:r w:rsidRPr="005D4B38">
        <w:rPr>
          <w:rStyle w:val="Title1"/>
        </w:rPr>
        <w:t>BUKA U OKOLIŠU/ŽIVOTNOJ SREDINI</w:t>
      </w:r>
      <w:bookmarkEnd w:id="41"/>
      <w:bookmarkEnd w:id="42"/>
      <w:bookmarkEnd w:id="43"/>
      <w:bookmarkEnd w:id="44"/>
      <w:bookmarkEnd w:id="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2357"/>
      </w:tblGrid>
      <w:tr w:rsidR="00D35638" w:rsidRPr="005D4B38" w:rsidTr="00D35638">
        <w:trPr>
          <w:cantSplit/>
        </w:trPr>
        <w:tc>
          <w:tcPr>
            <w:tcW w:w="229" w:type="pct"/>
            <w:vAlign w:val="center"/>
          </w:tcPr>
          <w:p w:rsidR="00D35638" w:rsidRPr="005D4B38" w:rsidRDefault="00D35638" w:rsidP="00397C02">
            <w:pPr>
              <w:spacing w:after="120"/>
              <w:jc w:val="center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1.</w:t>
            </w:r>
          </w:p>
        </w:tc>
        <w:tc>
          <w:tcPr>
            <w:tcW w:w="4771" w:type="pct"/>
          </w:tcPr>
          <w:p w:rsidR="00D35638" w:rsidRPr="005D4B38" w:rsidRDefault="00D35638" w:rsidP="00397C02">
            <w:pPr>
              <w:spacing w:after="120"/>
              <w:jc w:val="left"/>
              <w:rPr>
                <w:rFonts w:cs="Arial"/>
                <w:b/>
                <w:bCs/>
                <w:color w:val="000000"/>
                <w:lang w:val="hr-HR"/>
              </w:rPr>
            </w:pPr>
            <w:r w:rsidRPr="005D4B38">
              <w:rPr>
                <w:rFonts w:cs="Arial"/>
                <w:color w:val="000000"/>
                <w:lang w:val="hr-HR"/>
              </w:rPr>
              <w:t xml:space="preserve">Direktiva 2002/49/EZ Evropskog parlamenta i Savjeta od 25. juna 2002. godine o procjeni i upravljanju bukom u okolišu/životnoj sredini, izmijenjena Uredbom (EZ) 1137/2008 - </w:t>
            </w:r>
            <w:r w:rsidRPr="005D4B38">
              <w:rPr>
                <w:rFonts w:cs="Arial"/>
                <w:b/>
                <w:bCs/>
                <w:color w:val="000000"/>
                <w:lang w:val="hr-HR"/>
              </w:rPr>
              <w:t>Direktiva o buci u okolišu/životnoj sredini</w:t>
            </w:r>
          </w:p>
        </w:tc>
      </w:tr>
      <w:tr w:rsidR="00D35638" w:rsidRPr="005D4B38" w:rsidTr="00D35638">
        <w:trPr>
          <w:cantSplit/>
        </w:trPr>
        <w:tc>
          <w:tcPr>
            <w:tcW w:w="229" w:type="pct"/>
            <w:vAlign w:val="center"/>
          </w:tcPr>
          <w:p w:rsidR="00D35638" w:rsidRPr="005D4B38" w:rsidRDefault="00D35638" w:rsidP="00397C02">
            <w:pPr>
              <w:spacing w:after="120"/>
              <w:jc w:val="center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>2</w:t>
            </w:r>
          </w:p>
        </w:tc>
        <w:tc>
          <w:tcPr>
            <w:tcW w:w="4771" w:type="pct"/>
          </w:tcPr>
          <w:p w:rsidR="00D35638" w:rsidRPr="005D4B38" w:rsidRDefault="00D35638" w:rsidP="00397C02">
            <w:pPr>
              <w:spacing w:after="120"/>
              <w:jc w:val="left"/>
              <w:rPr>
                <w:rFonts w:cs="Arial"/>
                <w:b/>
                <w:bCs/>
                <w:color w:val="000000"/>
                <w:lang w:val="hr-HR"/>
              </w:rPr>
            </w:pPr>
            <w:r w:rsidRPr="005D4B38">
              <w:rPr>
                <w:rFonts w:cs="Arial"/>
                <w:color w:val="000000"/>
                <w:lang w:val="hr-HR"/>
              </w:rPr>
              <w:t xml:space="preserve">Direktiva 2000/14/EZ Evropskog parlamenta i Savjeta od 8. maja 2000. godine o aproksimaciji zakona zemalja članica u oblasti emisija buke u okolišu/životnoj sredini iz uređaja za upotrebu na otvorenom, sa izmjenama iz Direktive 2005/88/EZ i Uredbe (EZ) 219/2009 - </w:t>
            </w:r>
            <w:r w:rsidRPr="005D4B38">
              <w:rPr>
                <w:rFonts w:cs="Arial"/>
                <w:b/>
                <w:bCs/>
                <w:color w:val="000000"/>
                <w:lang w:val="hr-HR"/>
              </w:rPr>
              <w:t xml:space="preserve">Direktiva o uređajima za upotrebu na otvorenom </w:t>
            </w:r>
          </w:p>
        </w:tc>
      </w:tr>
      <w:tr w:rsidR="00D35638" w:rsidRPr="005D4B38" w:rsidTr="00D35638">
        <w:trPr>
          <w:cantSplit/>
        </w:trPr>
        <w:tc>
          <w:tcPr>
            <w:tcW w:w="229" w:type="pct"/>
            <w:vAlign w:val="center"/>
          </w:tcPr>
          <w:p w:rsidR="00D35638" w:rsidRPr="005D4B38" w:rsidRDefault="00D35638" w:rsidP="00397C02">
            <w:pPr>
              <w:pStyle w:val="ListParagraph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lastRenderedPageBreak/>
              <w:t>3.</w:t>
            </w:r>
          </w:p>
        </w:tc>
        <w:tc>
          <w:tcPr>
            <w:tcW w:w="4771" w:type="pct"/>
          </w:tcPr>
          <w:p w:rsidR="00D35638" w:rsidRPr="005D4B38" w:rsidRDefault="00D35638" w:rsidP="00397C02">
            <w:pPr>
              <w:spacing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Savjeta 92/23/EEZ od 31. marta 1992. godine o gumama za motorna vozila i priključna vozila i njihovo postavljanje, sa izmjenama iz Direktive 2001/43/EZ Evropskog parlamenta i Savjeta od 27. juna 2001. godine o gumama za motorna vozila i priključna vozila i njihovo postavljanje, i Direktivom Komisije 2005/11/EZ od 16. februara 2005. godine o prilagođavanju tehničkim naprecima na ovom polju - </w:t>
            </w:r>
            <w:r w:rsidRPr="005D4B38">
              <w:rPr>
                <w:rFonts w:cs="Arial"/>
                <w:b/>
                <w:bCs/>
                <w:lang w:val="hr-HR"/>
              </w:rPr>
              <w:t>Direktiva o gumama za motorna vozila</w:t>
            </w:r>
          </w:p>
        </w:tc>
      </w:tr>
      <w:tr w:rsidR="00D35638" w:rsidRPr="005D4B38" w:rsidTr="00D35638">
        <w:trPr>
          <w:cantSplit/>
        </w:trPr>
        <w:tc>
          <w:tcPr>
            <w:tcW w:w="229" w:type="pct"/>
            <w:vAlign w:val="center"/>
          </w:tcPr>
          <w:p w:rsidR="00D35638" w:rsidRPr="005D4B38" w:rsidRDefault="00D35638" w:rsidP="00397C02">
            <w:pPr>
              <w:pStyle w:val="ListParagraph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4.</w:t>
            </w:r>
          </w:p>
        </w:tc>
        <w:tc>
          <w:tcPr>
            <w:tcW w:w="4771" w:type="pct"/>
          </w:tcPr>
          <w:p w:rsidR="00D35638" w:rsidRPr="005D4B38" w:rsidRDefault="00D35638" w:rsidP="00397C02">
            <w:pPr>
              <w:spacing w:after="120"/>
              <w:jc w:val="left"/>
              <w:rPr>
                <w:rFonts w:cs="Arial"/>
                <w:lang w:val="hr-HR"/>
              </w:rPr>
            </w:pPr>
            <w:r w:rsidRPr="005D4B38">
              <w:rPr>
                <w:lang w:val="hr-HR"/>
              </w:rPr>
              <w:t xml:space="preserve">Direktiva Savjeta 70/157/EEZ od 6. februara 1970. godine o aproksimaciji zakona zemalja članica o dozvoljenim zvučnim nivoima i izduvnim sistemima motornih vozila, izmijenjena: Direktivom Komisije 73/350/EEZ od 7. novembra 1973. godine, Direktivom Savjeta 77/212/EEZ od 8. marta 1977. godine, Direktivom Komisije 81/334/EEZ od 13. aprila 1981. godine, Direktivom Komisije 84/372/EEZ od 3. jula 1984. godine, Direktivom Savjeta 84/424/EEZ od 3. septembra 1984. godine, Direktivom Savjeta 87/354/EEZ od 25. juna 1987. godine, Direktivom Komisije 89/491/EEZ od 17. jula 1989. godine; Direktivom Savjeta 92/97/EEZ od 10. novembra 1992. godine, Direktivom Komisije 96/20/EZ od 27. marta 1996. godine, Direktivom Komisije 99/101/EZ od 15. decembra 1999. godine, Direktivom Komisije 2007/734/EZ od 14. juna 2007. godine – </w:t>
            </w:r>
            <w:r w:rsidRPr="005D4B38">
              <w:rPr>
                <w:b/>
                <w:bCs/>
                <w:lang w:val="hr-HR"/>
              </w:rPr>
              <w:t>Direktiva o motornim vozilima</w:t>
            </w:r>
          </w:p>
        </w:tc>
      </w:tr>
      <w:tr w:rsidR="00D35638" w:rsidRPr="005D4B38" w:rsidTr="00D35638">
        <w:trPr>
          <w:cantSplit/>
        </w:trPr>
        <w:tc>
          <w:tcPr>
            <w:tcW w:w="229" w:type="pct"/>
            <w:vAlign w:val="center"/>
          </w:tcPr>
          <w:p w:rsidR="00D35638" w:rsidRPr="005D4B38" w:rsidRDefault="00D35638" w:rsidP="00397C02">
            <w:pPr>
              <w:pStyle w:val="ListParagraph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5.</w:t>
            </w:r>
          </w:p>
        </w:tc>
        <w:tc>
          <w:tcPr>
            <w:tcW w:w="4771" w:type="pct"/>
          </w:tcPr>
          <w:p w:rsidR="00D35638" w:rsidRPr="005D4B38" w:rsidRDefault="00D35638" w:rsidP="00397C02">
            <w:pPr>
              <w:spacing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97/24/EZ Evropskog parlamenta i Savjeta od 17. juna 1997. godine o određenim komponentama i karakteristikama motornih vozila na sva i tri točka, izmijenjena Direktivom 2002/51/EZ Evropskog parlamenta i Savjeta od 19 jula 2002. godine, Direktivom Komisije 2003/77/EZ od 11. avgusta 2003. godine, Direktivom Komisije 2005/30/EZ od 22. aprila 2005. godine, Direktivom Komisije 2006/120/EZ od 27. novembra 2006. godine, Direktivom Komisije 2006/27/EZ od 3. marta 2006. godine, Direktivom Komisije 2006/72/EZ od 18. avgusta 2006. godine, Direktivom Komisije 2009/108/EZ od 17. avgusta 2009. godine, Direktivom Komisije 2013/60/EU od 27. novembra 2013. godine o izmjenama i dopunama s ciljem prilagođavanja tehničkim napretcima – </w:t>
            </w:r>
            <w:r w:rsidRPr="005D4B38">
              <w:rPr>
                <w:rFonts w:cs="Arial"/>
                <w:b/>
                <w:bCs/>
                <w:lang w:val="hr-HR"/>
              </w:rPr>
              <w:t>Direktiva o buci motocikala</w:t>
            </w:r>
          </w:p>
        </w:tc>
      </w:tr>
      <w:tr w:rsidR="00D35638" w:rsidRPr="005D4B38" w:rsidTr="00D35638">
        <w:trPr>
          <w:cantSplit/>
        </w:trPr>
        <w:tc>
          <w:tcPr>
            <w:tcW w:w="229" w:type="pct"/>
            <w:vAlign w:val="center"/>
          </w:tcPr>
          <w:p w:rsidR="00D35638" w:rsidRPr="005D4B38" w:rsidRDefault="00D35638" w:rsidP="00397C02">
            <w:pPr>
              <w:pStyle w:val="ListParagraph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6.</w:t>
            </w:r>
          </w:p>
        </w:tc>
        <w:tc>
          <w:tcPr>
            <w:tcW w:w="4771" w:type="pct"/>
          </w:tcPr>
          <w:p w:rsidR="00D35638" w:rsidRPr="005D4B38" w:rsidRDefault="00D35638" w:rsidP="00397C02">
            <w:pPr>
              <w:spacing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Uredba (EZ) br. 1222/2009 Evropskog parlamenta i Savjeta od 25. novembra 2009. godine o označavanju guma u pogledu ekonomičnosti potrošnje goriva i drugim ključnim parametrima, uz izmjene iz Uredbe (EU) 228/2011 od 7. marta 2011. godine o metodi testiranja prianjanja C1 guma na mokru podlogu i Uredbe (EU) br. 1235/2011 od 29. novembra 2011. godine o razvrstavanju guma po prianjanju na mokru podlogu, mjerenje otpora pri kotrljanju i postupku verifikacije - </w:t>
            </w:r>
            <w:r w:rsidRPr="005D4B38">
              <w:rPr>
                <w:rFonts w:cs="Arial"/>
                <w:b/>
                <w:bCs/>
                <w:lang w:val="hr-HR"/>
              </w:rPr>
              <w:t>Uredba o označavanju guma</w:t>
            </w:r>
          </w:p>
        </w:tc>
      </w:tr>
      <w:tr w:rsidR="00D35638" w:rsidRPr="005D4B38" w:rsidTr="00D35638">
        <w:trPr>
          <w:cantSplit/>
        </w:trPr>
        <w:tc>
          <w:tcPr>
            <w:tcW w:w="229" w:type="pct"/>
            <w:vAlign w:val="center"/>
          </w:tcPr>
          <w:p w:rsidR="00D35638" w:rsidRPr="005D4B38" w:rsidRDefault="00D35638" w:rsidP="00397C02">
            <w:pPr>
              <w:pStyle w:val="ListParagraph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7.</w:t>
            </w:r>
          </w:p>
        </w:tc>
        <w:tc>
          <w:tcPr>
            <w:tcW w:w="4771" w:type="pct"/>
          </w:tcPr>
          <w:p w:rsidR="00D35638" w:rsidRPr="005D4B38" w:rsidRDefault="00D35638" w:rsidP="00397C02">
            <w:pPr>
              <w:spacing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80/51/EEZ o ograničenju emisija buke iz podzvučnih vazduhoplova, izmijenjena Direktivom 83/206/EEZ od 4. decembra 1989. godine o ograničenju emisija buke iz civilnih podzvučnih vazduhoplova - </w:t>
            </w:r>
            <w:r w:rsidRPr="005D4B38">
              <w:rPr>
                <w:rFonts w:cs="Arial"/>
                <w:b/>
                <w:bCs/>
                <w:lang w:val="hr-HR"/>
              </w:rPr>
              <w:t>Direktiva o buci iz podzvučnih vazduhoplova</w:t>
            </w:r>
          </w:p>
        </w:tc>
      </w:tr>
      <w:tr w:rsidR="00D35638" w:rsidRPr="005D4B38" w:rsidTr="00D35638">
        <w:trPr>
          <w:cantSplit/>
        </w:trPr>
        <w:tc>
          <w:tcPr>
            <w:tcW w:w="229" w:type="pct"/>
            <w:vAlign w:val="center"/>
          </w:tcPr>
          <w:p w:rsidR="00D35638" w:rsidRPr="005D4B38" w:rsidRDefault="00D35638" w:rsidP="00397C02">
            <w:pPr>
              <w:pStyle w:val="ListParagraph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8.</w:t>
            </w:r>
          </w:p>
        </w:tc>
        <w:tc>
          <w:tcPr>
            <w:tcW w:w="4771" w:type="pct"/>
          </w:tcPr>
          <w:p w:rsidR="00D35638" w:rsidRPr="005D4B38" w:rsidRDefault="00D35638" w:rsidP="00397C02">
            <w:pPr>
              <w:spacing w:after="120"/>
              <w:jc w:val="left"/>
              <w:rPr>
                <w:rFonts w:cs="Arial"/>
                <w:lang w:val="hr-HR"/>
              </w:rPr>
            </w:pPr>
            <w:r w:rsidRPr="005D4B38">
              <w:rPr>
                <w:lang w:val="hr-HR"/>
              </w:rPr>
              <w:t xml:space="preserve">Direktiva Savjeta 89/629/EEZ od 4. decembra 1989. godine o ograničenju emisija buke koju stvaraju civilni podzvučni mlazni avioni, uz izmjene i dopune iz Direktive 92/14/EZ o ograničenju avionskih operacija iz dijela 2., poglavlje 2., Knjiga 1. Aneksa 16. Konvencije o međunarodnoj civilnoj avijaciji, sa izmjenama iz Direktive 98/20/EZ od 30. marta 1998. godine i Direktive 1999/28/EZ od 21. aprila 1999. godine o izmjenama i dopunama Aneksa Direktive Savjeta 92/14/EEZ - </w:t>
            </w:r>
            <w:r w:rsidRPr="005D4B38">
              <w:rPr>
                <w:b/>
                <w:bCs/>
                <w:lang w:val="hr-HR"/>
              </w:rPr>
              <w:t>Direktiva o civilnim mlaznim avionima</w:t>
            </w:r>
          </w:p>
        </w:tc>
      </w:tr>
      <w:tr w:rsidR="00D35638" w:rsidRPr="005D4B38" w:rsidTr="00D35638">
        <w:trPr>
          <w:cantSplit/>
        </w:trPr>
        <w:tc>
          <w:tcPr>
            <w:tcW w:w="229" w:type="pct"/>
            <w:vAlign w:val="center"/>
          </w:tcPr>
          <w:p w:rsidR="00D35638" w:rsidRPr="005D4B38" w:rsidRDefault="00D35638" w:rsidP="00397C02">
            <w:pPr>
              <w:pStyle w:val="ListParagraph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lastRenderedPageBreak/>
              <w:t>9.</w:t>
            </w:r>
          </w:p>
        </w:tc>
        <w:tc>
          <w:tcPr>
            <w:tcW w:w="4771" w:type="pct"/>
          </w:tcPr>
          <w:p w:rsidR="00D35638" w:rsidRPr="005D4B38" w:rsidRDefault="00D35638" w:rsidP="00397C02">
            <w:pPr>
              <w:spacing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2002/30/EZ Evropskog parlamenta i Savjeta od 26. marta 2002. godine o uspostavljanju pravila i procedura za uvođenje operativnih ograničenja emisija buke na aerodromima u Zajednici, izmijenjena i dopunjena Uredbom (EZ) br. 1137/2008 Evropskog parlamenta i Savjeta od 22. oktobra o prilagođavanju nekoliko instrumenata po postupku propisanom u članu 251. Ugovora prema Odluci Savjeta 1999/468/EZ po pitanju regulatornog postupka praćenog ispitivanjem - Prilagođavanje prema regulatornom postupku praćenom ispitivanjem - prvi dio - </w:t>
            </w:r>
            <w:r w:rsidRPr="005D4B38">
              <w:rPr>
                <w:rFonts w:cs="Arial"/>
                <w:b/>
                <w:bCs/>
                <w:lang w:val="hr-HR"/>
              </w:rPr>
              <w:t>Direktiva o aerodromskoj buci</w:t>
            </w:r>
          </w:p>
        </w:tc>
      </w:tr>
      <w:tr w:rsidR="00D35638" w:rsidRPr="005D4B38" w:rsidTr="00D35638">
        <w:trPr>
          <w:cantSplit/>
        </w:trPr>
        <w:tc>
          <w:tcPr>
            <w:tcW w:w="229" w:type="pct"/>
            <w:vAlign w:val="center"/>
          </w:tcPr>
          <w:p w:rsidR="00D35638" w:rsidRPr="005D4B38" w:rsidRDefault="00D35638" w:rsidP="00397C02">
            <w:pPr>
              <w:pStyle w:val="ListParagraph"/>
              <w:ind w:left="-90"/>
              <w:jc w:val="center"/>
              <w:rPr>
                <w:lang w:val="hr-HR"/>
              </w:rPr>
            </w:pPr>
            <w:r w:rsidRPr="005D4B38">
              <w:rPr>
                <w:lang w:val="hr-HR"/>
              </w:rPr>
              <w:t>10.</w:t>
            </w:r>
          </w:p>
        </w:tc>
        <w:tc>
          <w:tcPr>
            <w:tcW w:w="4771" w:type="pct"/>
          </w:tcPr>
          <w:p w:rsidR="00D35638" w:rsidRPr="005D4B38" w:rsidRDefault="00D35638" w:rsidP="00397C02">
            <w:pPr>
              <w:spacing w:after="120"/>
              <w:jc w:val="left"/>
              <w:rPr>
                <w:rFonts w:cs="Arial"/>
                <w:lang w:val="hr-HR"/>
              </w:rPr>
            </w:pPr>
            <w:r w:rsidRPr="005D4B38">
              <w:rPr>
                <w:rFonts w:cs="Arial"/>
                <w:lang w:val="hr-HR"/>
              </w:rPr>
              <w:t xml:space="preserve">Direktiva 2008/57/EZ o zajedničkom djelovanju Evropskog željezničkog sistema, uz izmjene iz Direktive 2009/131/EZ od 16. oktobra 2009. godine koja izmjenjuje Aneks VII Direktive 2008/57/EZ, Direktive 2011/18/EU od 1. marta 2011. godine koja izmjenjuje Anekse II, V i VI Direktive 2008/57/EZ, Direktive 2013/9/EU od 11. marta 2013. godine koja izmjenjuje Aneks III Direktive 2008/57/EZ; Vidjeti i Preporuku Komisije 2011/217/EU o ovlašćenju za puštanje u upotrebu strukturalnih podsistema i vozila u sklopu Direktive 2008/57/EZ - </w:t>
            </w:r>
            <w:r w:rsidRPr="005D4B38">
              <w:rPr>
                <w:rFonts w:cs="Arial"/>
                <w:b/>
                <w:bCs/>
                <w:lang w:val="hr-HR"/>
              </w:rPr>
              <w:t>Direktiva o zajedničkom djelovanju Evropskog željezničkog sistema</w:t>
            </w:r>
          </w:p>
        </w:tc>
      </w:tr>
      <w:tr w:rsidR="00D35638" w:rsidRPr="00FA0C6C" w:rsidTr="00D35638">
        <w:trPr>
          <w:cantSplit/>
        </w:trPr>
        <w:tc>
          <w:tcPr>
            <w:tcW w:w="229" w:type="pct"/>
            <w:vAlign w:val="center"/>
          </w:tcPr>
          <w:p w:rsidR="00D35638" w:rsidRPr="00FA0C6C" w:rsidRDefault="00D35638" w:rsidP="00397C02">
            <w:pPr>
              <w:pStyle w:val="ListParagraph"/>
              <w:ind w:left="-90"/>
              <w:jc w:val="center"/>
              <w:rPr>
                <w:lang w:val="hr-HR"/>
              </w:rPr>
            </w:pPr>
            <w:r w:rsidRPr="00FA0C6C">
              <w:rPr>
                <w:lang w:val="hr-HR"/>
              </w:rPr>
              <w:t>11.</w:t>
            </w:r>
          </w:p>
        </w:tc>
        <w:tc>
          <w:tcPr>
            <w:tcW w:w="4771" w:type="pct"/>
          </w:tcPr>
          <w:p w:rsidR="00D35638" w:rsidRPr="00FA0C6C" w:rsidRDefault="00D35638" w:rsidP="00397C02">
            <w:pPr>
              <w:spacing w:after="120"/>
              <w:jc w:val="left"/>
              <w:rPr>
                <w:rFonts w:cs="Arial"/>
                <w:lang w:val="hr-HR"/>
              </w:rPr>
            </w:pPr>
            <w:r w:rsidRPr="00FA0C6C">
              <w:rPr>
                <w:lang w:val="hr-HR"/>
              </w:rPr>
              <w:t xml:space="preserve">Odluka Komisije </w:t>
            </w:r>
            <w:hyperlink r:id="rId10" w:tgtFrame="_blank" w:history="1">
              <w:r w:rsidRPr="00FA0C6C">
                <w:rPr>
                  <w:rStyle w:val="Hyperlink"/>
                  <w:shd w:val="clear" w:color="auto" w:fill="FFFFFF"/>
                  <w:lang w:val="hr-HR"/>
                </w:rPr>
                <w:t>2011/229/EU</w:t>
              </w:r>
            </w:hyperlink>
            <w:r w:rsidRPr="00FA0C6C">
              <w:rPr>
                <w:lang w:val="hr-HR"/>
              </w:rPr>
              <w:t xml:space="preserve"> od 4. aprila 2011. godine o tehničkim specifikacijama za zajedničko djelovanje (interoperabilnost) podsistema "buka koju proizvodi željeznički vozni park" u transevropskom konvencionalnom željezničkom sistemu, sa izmjenama iz Odluke Komisije od 23. jula 2012. godine o tehničkim zahtjevima za zajedničko djelovanje - </w:t>
            </w:r>
            <w:r w:rsidRPr="00FA0C6C">
              <w:rPr>
                <w:b/>
                <w:bCs/>
                <w:lang w:val="hr-HR"/>
              </w:rPr>
              <w:t>Direktiva o buci koju proizvodi željeznički vozni park</w:t>
            </w:r>
          </w:p>
        </w:tc>
      </w:tr>
    </w:tbl>
    <w:p w:rsidR="00D35638" w:rsidRPr="005D4B38" w:rsidRDefault="00D35638" w:rsidP="00D35638">
      <w:pPr>
        <w:jc w:val="left"/>
        <w:rPr>
          <w:lang w:val="hr-HR"/>
        </w:rPr>
      </w:pPr>
    </w:p>
    <w:p w:rsidR="00C35B62" w:rsidRPr="00D35638" w:rsidRDefault="00C35B62" w:rsidP="00D35638"/>
    <w:sectPr w:rsidR="00C35B62" w:rsidRPr="00D35638" w:rsidSect="00D356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90" w:rsidRDefault="00E14490" w:rsidP="00D35638">
      <w:r>
        <w:separator/>
      </w:r>
    </w:p>
  </w:endnote>
  <w:endnote w:type="continuationSeparator" w:id="0">
    <w:p w:rsidR="00E14490" w:rsidRDefault="00E14490" w:rsidP="00D3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90" w:rsidRDefault="00E14490" w:rsidP="00D35638">
      <w:r>
        <w:separator/>
      </w:r>
    </w:p>
  </w:footnote>
  <w:footnote w:type="continuationSeparator" w:id="0">
    <w:p w:rsidR="00E14490" w:rsidRDefault="00E14490" w:rsidP="00D35638">
      <w:r>
        <w:continuationSeparator/>
      </w:r>
    </w:p>
  </w:footnote>
  <w:footnote w:id="1">
    <w:p w:rsidR="00D35638" w:rsidRPr="00483ED4" w:rsidRDefault="00D35638" w:rsidP="00D35638">
      <w:pPr>
        <w:pStyle w:val="FootnoteText"/>
      </w:pPr>
      <w:r w:rsidRPr="0074679A">
        <w:rPr>
          <w:rStyle w:val="FootnoteReference"/>
        </w:rPr>
        <w:footnoteRef/>
      </w:r>
      <w:r w:rsidRPr="0074679A">
        <w:rPr>
          <w:shd w:val="clear" w:color="auto" w:fill="FFFFFF"/>
        </w:rPr>
        <w:t xml:space="preserve">Pored toga, Komisija je riješila i usaglasila </w:t>
      </w:r>
      <w:proofErr w:type="gramStart"/>
      <w:r w:rsidRPr="0074679A">
        <w:rPr>
          <w:shd w:val="clear" w:color="auto" w:fill="FFFFFF"/>
        </w:rPr>
        <w:t>sa</w:t>
      </w:r>
      <w:proofErr w:type="gramEnd"/>
      <w:r w:rsidRPr="0074679A">
        <w:rPr>
          <w:shd w:val="clear" w:color="auto" w:fill="FFFFFF"/>
        </w:rPr>
        <w:t xml:space="preserve"> zemljama članicama prijedlog </w:t>
      </w:r>
      <w:hyperlink r:id="rId1" w:tgtFrame="_blank" w:history="1">
        <w:r w:rsidRPr="0074679A">
          <w:rPr>
            <w:rStyle w:val="Hyperlink"/>
            <w:bdr w:val="none" w:sz="0" w:space="0" w:color="auto" w:frame="1"/>
            <w:shd w:val="clear" w:color="auto" w:fill="FFFFFF"/>
          </w:rPr>
          <w:t>Direktive Komisije kojim se mijenja Aneks II Direktive o podzemnim vodama</w:t>
        </w:r>
      </w:hyperlink>
      <w:r w:rsidRPr="0074679A">
        <w:rPr>
          <w:shd w:val="clear" w:color="auto" w:fill="FFFFFF"/>
        </w:rPr>
        <w:t xml:space="preserve">.Prijedlog je u trenutku pripreme ove </w:t>
      </w:r>
      <w:r>
        <w:rPr>
          <w:color w:val="000000"/>
          <w:shd w:val="clear" w:color="auto" w:fill="FFFFFF"/>
        </w:rPr>
        <w:t>Strategije u proceduri razmatranja u Savjetu i Evropskom parlamentu.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031C1"/>
    <w:multiLevelType w:val="multilevel"/>
    <w:tmpl w:val="43FED33E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FF6600"/>
        <w:sz w:val="32"/>
        <w:szCs w:val="32"/>
        <w:u w:val="none" w:color="808080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ascii="Calibri" w:hAnsi="Calibri" w:hint="default"/>
        <w:b/>
        <w:i w:val="0"/>
        <w:color w:val="FF660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425" w:hanging="425"/>
      </w:pPr>
      <w:rPr>
        <w:rFonts w:ascii="Calibri" w:hAnsi="Calibri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asciiTheme="majorHAnsi" w:hAnsiTheme="majorHAnsi" w:hint="default"/>
        <w:b/>
        <w:bCs/>
        <w:i w:val="0"/>
        <w:iCs w:val="0"/>
        <w:color w:val="FF660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FF6600"/>
        <w:sz w:val="20"/>
        <w:szCs w:val="20"/>
        <w:vertAlign w:val="baseli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42"/>
        </w:tabs>
        <w:ind w:left="442" w:hanging="1152"/>
      </w:pPr>
      <w:rPr>
        <w:rFonts w:asciiTheme="majorHAnsi" w:hAnsiTheme="majorHAnsi" w:hint="default"/>
        <w:color w:val="FF66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586"/>
        </w:tabs>
        <w:ind w:left="58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4"/>
        </w:tabs>
        <w:ind w:left="87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38"/>
    <w:rsid w:val="001008F9"/>
    <w:rsid w:val="00C35B62"/>
    <w:rsid w:val="00D35638"/>
    <w:rsid w:val="00E1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B107"/>
  <w15:chartTrackingRefBased/>
  <w15:docId w15:val="{DABB9464-146A-4823-9196-26DD7CAD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38"/>
    <w:pPr>
      <w:spacing w:after="0" w:line="240" w:lineRule="auto"/>
      <w:jc w:val="both"/>
    </w:pPr>
    <w:rPr>
      <w:rFonts w:asciiTheme="majorHAnsi" w:eastAsiaTheme="minorEastAsia" w:hAnsiTheme="majorHAnsi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35638"/>
    <w:pPr>
      <w:keepNext/>
      <w:keepLines/>
      <w:numPr>
        <w:numId w:val="1"/>
      </w:numPr>
      <w:pBdr>
        <w:bottom w:val="single" w:sz="4" w:space="1" w:color="D9D9D9" w:themeColor="background1" w:themeShade="D9"/>
      </w:pBdr>
      <w:spacing w:before="360" w:after="360"/>
      <w:outlineLvl w:val="0"/>
    </w:pPr>
    <w:rPr>
      <w:rFonts w:eastAsiaTheme="majorEastAsia" w:cstheme="majorBidi"/>
      <w:b/>
      <w:bCs/>
      <w:caps/>
      <w:color w:val="00009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35638"/>
    <w:pPr>
      <w:keepNext/>
      <w:keepLines/>
      <w:numPr>
        <w:ilvl w:val="1"/>
        <w:numId w:val="1"/>
      </w:numPr>
      <w:spacing w:before="240" w:after="120"/>
      <w:ind w:left="879"/>
      <w:outlineLvl w:val="1"/>
    </w:pPr>
    <w:rPr>
      <w:rFonts w:eastAsiaTheme="majorEastAsia" w:cstheme="majorBidi"/>
      <w:b/>
      <w:color w:val="44546A" w:themeColor="text2"/>
      <w:sz w:val="28"/>
      <w:szCs w:val="28"/>
      <w:lang w:val="hr-HR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35638"/>
    <w:pPr>
      <w:keepNext/>
      <w:keepLines/>
      <w:numPr>
        <w:ilvl w:val="2"/>
        <w:numId w:val="1"/>
      </w:numPr>
      <w:spacing w:before="240" w:after="120"/>
      <w:ind w:left="709" w:hanging="709"/>
      <w:jc w:val="left"/>
      <w:outlineLvl w:val="2"/>
    </w:pPr>
    <w:rPr>
      <w:rFonts w:eastAsiaTheme="majorEastAsia" w:cstheme="majorBidi"/>
      <w:b/>
      <w:bCs/>
      <w:color w:val="000090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D35638"/>
    <w:pPr>
      <w:keepNext/>
      <w:keepLines/>
      <w:numPr>
        <w:ilvl w:val="3"/>
        <w:numId w:val="1"/>
      </w:numPr>
      <w:spacing w:before="200" w:after="120"/>
      <w:outlineLvl w:val="3"/>
    </w:pPr>
    <w:rPr>
      <w:rFonts w:eastAsiaTheme="majorEastAsia" w:cstheme="majorBidi"/>
      <w:b/>
      <w:bCs/>
      <w:iCs/>
      <w:color w:val="000090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D35638"/>
    <w:pPr>
      <w:keepNext/>
      <w:keepLines/>
      <w:numPr>
        <w:ilvl w:val="4"/>
        <w:numId w:val="1"/>
      </w:numPr>
      <w:spacing w:before="200" w:after="120"/>
      <w:jc w:val="left"/>
      <w:outlineLvl w:val="4"/>
    </w:pPr>
    <w:rPr>
      <w:rFonts w:eastAsiaTheme="majorEastAsia" w:cstheme="majorBidi"/>
      <w:b/>
      <w:bCs/>
      <w:color w:val="000090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D35638"/>
    <w:pPr>
      <w:keepNext/>
      <w:keepLines/>
      <w:numPr>
        <w:ilvl w:val="5"/>
        <w:numId w:val="1"/>
      </w:numPr>
      <w:spacing w:before="120" w:after="120" w:line="276" w:lineRule="auto"/>
      <w:ind w:hanging="442"/>
      <w:outlineLvl w:val="5"/>
    </w:pPr>
    <w:rPr>
      <w:rFonts w:eastAsia="Times New Roman" w:cs="Times New Roman"/>
      <w:i/>
      <w:iCs/>
      <w:color w:val="00009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638"/>
    <w:rPr>
      <w:rFonts w:asciiTheme="majorHAnsi" w:eastAsiaTheme="majorEastAsia" w:hAnsiTheme="majorHAnsi" w:cstheme="majorBidi"/>
      <w:b/>
      <w:bCs/>
      <w:caps/>
      <w:color w:val="000090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D35638"/>
    <w:rPr>
      <w:rFonts w:asciiTheme="majorHAnsi" w:eastAsiaTheme="majorEastAsia" w:hAnsiTheme="majorHAnsi" w:cstheme="majorBidi"/>
      <w:b/>
      <w:color w:val="44546A" w:themeColor="text2"/>
      <w:sz w:val="28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rsid w:val="00D35638"/>
    <w:rPr>
      <w:rFonts w:asciiTheme="majorHAnsi" w:eastAsiaTheme="majorEastAsia" w:hAnsiTheme="majorHAnsi" w:cstheme="majorBidi"/>
      <w:b/>
      <w:bCs/>
      <w:color w:val="00009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35638"/>
    <w:rPr>
      <w:rFonts w:asciiTheme="majorHAnsi" w:eastAsiaTheme="majorEastAsia" w:hAnsiTheme="majorHAnsi" w:cstheme="majorBidi"/>
      <w:b/>
      <w:bCs/>
      <w:iCs/>
      <w:color w:val="000090"/>
      <w:lang w:val="en-GB"/>
    </w:rPr>
  </w:style>
  <w:style w:type="character" w:customStyle="1" w:styleId="Heading5Char">
    <w:name w:val="Heading 5 Char"/>
    <w:basedOn w:val="DefaultParagraphFont"/>
    <w:link w:val="Heading5"/>
    <w:rsid w:val="00D35638"/>
    <w:rPr>
      <w:rFonts w:asciiTheme="majorHAnsi" w:eastAsiaTheme="majorEastAsia" w:hAnsiTheme="majorHAnsi" w:cstheme="majorBidi"/>
      <w:b/>
      <w:bCs/>
      <w:color w:val="000090"/>
      <w:lang w:val="en-GB"/>
    </w:rPr>
  </w:style>
  <w:style w:type="character" w:customStyle="1" w:styleId="Heading6Char">
    <w:name w:val="Heading 6 Char"/>
    <w:basedOn w:val="DefaultParagraphFont"/>
    <w:link w:val="Heading6"/>
    <w:rsid w:val="00D35638"/>
    <w:rPr>
      <w:rFonts w:asciiTheme="majorHAnsi" w:eastAsia="Times New Roman" w:hAnsiTheme="majorHAnsi" w:cs="Times New Roman"/>
      <w:i/>
      <w:iCs/>
      <w:color w:val="00009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D35638"/>
    <w:pPr>
      <w:jc w:val="left"/>
    </w:pPr>
    <w:rPr>
      <w:rFonts w:cs="Arial"/>
      <w:sz w:val="18"/>
      <w:szCs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5638"/>
    <w:rPr>
      <w:rFonts w:asciiTheme="majorHAnsi" w:eastAsiaTheme="minorEastAsia" w:hAnsiTheme="majorHAnsi" w:cs="Arial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008F9"/>
    <w:pPr>
      <w:numPr>
        <w:ilvl w:val="1"/>
      </w:numPr>
      <w:jc w:val="center"/>
    </w:pPr>
    <w:rPr>
      <w:rFonts w:eastAsiaTheme="majorEastAsia" w:cstheme="majorBidi"/>
      <w:b/>
      <w:bCs/>
      <w:caps/>
      <w:color w:val="000090"/>
      <w:sz w:val="32"/>
      <w:szCs w:val="32"/>
      <w:lang w:val="hr-HR"/>
    </w:rPr>
  </w:style>
  <w:style w:type="character" w:customStyle="1" w:styleId="SubtitleChar">
    <w:name w:val="Subtitle Char"/>
    <w:basedOn w:val="DefaultParagraphFont"/>
    <w:link w:val="Subtitle"/>
    <w:uiPriority w:val="11"/>
    <w:rsid w:val="001008F9"/>
    <w:rPr>
      <w:rFonts w:asciiTheme="majorHAnsi" w:eastAsiaTheme="majorEastAsia" w:hAnsiTheme="majorHAnsi" w:cstheme="majorBidi"/>
      <w:b/>
      <w:bCs/>
      <w:caps/>
      <w:color w:val="000090"/>
      <w:sz w:val="32"/>
      <w:szCs w:val="32"/>
      <w:lang w:val="hr-HR"/>
    </w:rPr>
  </w:style>
  <w:style w:type="paragraph" w:styleId="ListParagraph">
    <w:name w:val="List Paragraph"/>
    <w:aliases w:val="6"/>
    <w:basedOn w:val="Normal"/>
    <w:uiPriority w:val="34"/>
    <w:qFormat/>
    <w:rsid w:val="00D35638"/>
    <w:pPr>
      <w:ind w:left="720"/>
      <w:contextualSpacing/>
    </w:pPr>
  </w:style>
  <w:style w:type="character" w:styleId="FootnoteReference">
    <w:name w:val="footnote reference"/>
    <w:aliases w:val="16 Point,Superscript 6 Point,Superscript 6 Point + 11 pt"/>
    <w:basedOn w:val="DefaultParagraphFont"/>
    <w:uiPriority w:val="99"/>
    <w:rsid w:val="00D3563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35638"/>
    <w:rPr>
      <w:color w:val="0000FF"/>
      <w:u w:val="single"/>
    </w:rPr>
  </w:style>
  <w:style w:type="character" w:customStyle="1" w:styleId="Title1">
    <w:name w:val="Title1"/>
    <w:basedOn w:val="DefaultParagraphFont"/>
    <w:autoRedefine/>
    <w:qFormat/>
    <w:rsid w:val="00D35638"/>
    <w:rPr>
      <w:rFonts w:asciiTheme="majorHAnsi" w:eastAsiaTheme="majorEastAsia" w:hAnsiTheme="majorHAnsi" w:cstheme="majorBidi"/>
      <w:b/>
      <w:bCs/>
      <w:caps/>
      <w:color w:val="000090"/>
      <w:spacing w:val="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CELEX:32016R0293&amp;from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xUriServ/LexUriServ.do?uri=OJ:L:2011:099:0001:0039:EN: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PDF/?uri=CELEX:32016R0460&amp;from=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transparency/regcomitology/index.cfm?do=search.documentdetail&amp;Q8KqE/P0omuE70+ySx1qR1oBh11fnqYnt1ecjOr9NPsxdbQ+AI/X9VTTMRqv00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260E-A6B7-4123-A4A6-46000D75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5352</Words>
  <Characters>30509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2</cp:revision>
  <dcterms:created xsi:type="dcterms:W3CDTF">2019-04-25T13:39:00Z</dcterms:created>
  <dcterms:modified xsi:type="dcterms:W3CDTF">2019-04-25T13:44:00Z</dcterms:modified>
</cp:coreProperties>
</file>