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DD" w:rsidRPr="008923E3" w:rsidRDefault="003639DD" w:rsidP="008923E3">
      <w:pPr>
        <w:pStyle w:val="Heading1"/>
        <w:ind w:left="0" w:right="1008" w:firstLine="0"/>
        <w:jc w:val="both"/>
        <w:rPr>
          <w:rFonts w:asciiTheme="majorHAnsi" w:hAnsiTheme="majorHAnsi"/>
          <w:sz w:val="28"/>
          <w:szCs w:val="28"/>
        </w:rPr>
      </w:pPr>
      <w:bookmarkStart w:id="0" w:name="_Toc86399"/>
      <w:r w:rsidRPr="008923E3">
        <w:rPr>
          <w:rFonts w:asciiTheme="majorHAnsi" w:hAnsiTheme="majorHAnsi"/>
          <w:sz w:val="28"/>
          <w:szCs w:val="28"/>
        </w:rPr>
        <w:t xml:space="preserve">NETEHNIĈKI REZIME </w:t>
      </w:r>
      <w:bookmarkEnd w:id="0"/>
    </w:p>
    <w:p w:rsidR="003639DD" w:rsidRPr="008923E3" w:rsidRDefault="003639DD" w:rsidP="008923E3">
      <w:pPr>
        <w:spacing w:after="63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b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Gospodarsko društvo “LAGER</w:t>
      </w:r>
      <w:proofErr w:type="gramStart"/>
      <w:r w:rsidRPr="008923E3">
        <w:rPr>
          <w:rFonts w:asciiTheme="majorHAnsi" w:hAnsiTheme="majorHAnsi"/>
          <w:sz w:val="28"/>
          <w:szCs w:val="28"/>
        </w:rPr>
        <w:t>“ d.o.o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. Posušje je pristupilo istraţnoj eksploataciji tehniĉko - graĊevnog kamena na lokalitetu “Bosiljna“ u </w:t>
      </w:r>
      <w:r w:rsidR="008923E3">
        <w:rPr>
          <w:rFonts w:asciiTheme="majorHAnsi" w:hAnsiTheme="majorHAnsi"/>
          <w:sz w:val="28"/>
          <w:szCs w:val="28"/>
        </w:rPr>
        <w:t xml:space="preserve">općini Posušje 2013. </w:t>
      </w:r>
      <w:proofErr w:type="gramStart"/>
      <w:r w:rsidR="008923E3">
        <w:rPr>
          <w:rFonts w:asciiTheme="majorHAnsi" w:hAnsiTheme="majorHAnsi"/>
          <w:sz w:val="28"/>
          <w:szCs w:val="28"/>
        </w:rPr>
        <w:t>godine</w:t>
      </w:r>
      <w:proofErr w:type="gramEnd"/>
      <w:r w:rsidR="008923E3">
        <w:rPr>
          <w:rFonts w:asciiTheme="majorHAnsi" w:hAnsiTheme="majorHAnsi"/>
          <w:sz w:val="28"/>
          <w:szCs w:val="28"/>
        </w:rPr>
        <w:t>. Lež</w:t>
      </w:r>
      <w:r w:rsidRPr="008923E3">
        <w:rPr>
          <w:rFonts w:asciiTheme="majorHAnsi" w:hAnsiTheme="majorHAnsi"/>
          <w:sz w:val="28"/>
          <w:szCs w:val="28"/>
        </w:rPr>
        <w:t>ište mi</w:t>
      </w:r>
      <w:r w:rsidR="008923E3">
        <w:rPr>
          <w:rFonts w:asciiTheme="majorHAnsi" w:hAnsiTheme="majorHAnsi"/>
          <w:sz w:val="28"/>
          <w:szCs w:val="28"/>
        </w:rPr>
        <w:t>neralne sirovine tehniĉko – građ</w:t>
      </w:r>
      <w:r w:rsidRPr="008923E3">
        <w:rPr>
          <w:rFonts w:asciiTheme="majorHAnsi" w:hAnsiTheme="majorHAnsi"/>
          <w:sz w:val="28"/>
          <w:szCs w:val="28"/>
        </w:rPr>
        <w:t xml:space="preserve">evnog kamena se nalazi na </w:t>
      </w:r>
      <w:proofErr w:type="gramStart"/>
      <w:r w:rsidRPr="008923E3">
        <w:rPr>
          <w:rFonts w:asciiTheme="majorHAnsi" w:hAnsiTheme="majorHAnsi"/>
          <w:sz w:val="28"/>
          <w:szCs w:val="28"/>
        </w:rPr>
        <w:t>lokalitetu  “</w:t>
      </w:r>
      <w:proofErr w:type="gramEnd"/>
      <w:r w:rsidRPr="008923E3">
        <w:rPr>
          <w:rFonts w:asciiTheme="majorHAnsi" w:hAnsiTheme="majorHAnsi"/>
          <w:sz w:val="28"/>
          <w:szCs w:val="28"/>
        </w:rPr>
        <w:t>Bosiljna“ u općini Posušje i to na parceli k</w:t>
      </w:r>
      <w:r w:rsidR="008923E3">
        <w:rPr>
          <w:rFonts w:asciiTheme="majorHAnsi" w:hAnsiTheme="majorHAnsi"/>
          <w:sz w:val="28"/>
          <w:szCs w:val="28"/>
        </w:rPr>
        <w:t>.ĉ. 407, k.o. Gornja Sutina. Ležište tehniĉko – građevnog kamena je omeđ</w:t>
      </w:r>
      <w:r w:rsidRPr="008923E3">
        <w:rPr>
          <w:rFonts w:asciiTheme="majorHAnsi" w:hAnsiTheme="majorHAnsi"/>
          <w:sz w:val="28"/>
          <w:szCs w:val="28"/>
        </w:rPr>
        <w:t xml:space="preserve">eno koordinatama navedenim u grafiĉkom prilogu u površini </w:t>
      </w:r>
      <w:proofErr w:type="gramStart"/>
      <w:r w:rsidRPr="008923E3">
        <w:rPr>
          <w:rFonts w:asciiTheme="majorHAnsi" w:hAnsiTheme="majorHAnsi"/>
          <w:sz w:val="28"/>
          <w:szCs w:val="28"/>
        </w:rPr>
        <w:t>od  69,3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ha. </w:t>
      </w:r>
    </w:p>
    <w:p w:rsidR="003639DD" w:rsidRPr="008923E3" w:rsidRDefault="008923E3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Na osnovu provedenih istraživanja urađ</w:t>
      </w:r>
      <w:r w:rsidR="003639DD" w:rsidRPr="008923E3">
        <w:rPr>
          <w:rFonts w:asciiTheme="majorHAnsi" w:hAnsiTheme="majorHAnsi"/>
          <w:sz w:val="28"/>
          <w:szCs w:val="28"/>
        </w:rPr>
        <w:t>en je Elaborat o klasifikaciji, kategorizaciji i p</w:t>
      </w:r>
      <w:r>
        <w:rPr>
          <w:rFonts w:asciiTheme="majorHAnsi" w:hAnsiTheme="majorHAnsi"/>
          <w:sz w:val="28"/>
          <w:szCs w:val="28"/>
        </w:rPr>
        <w:t xml:space="preserve">roraĉunu rezervi tehniĉko – građevnog kamena </w:t>
      </w:r>
      <w:proofErr w:type="gramStart"/>
      <w:r>
        <w:rPr>
          <w:rFonts w:asciiTheme="majorHAnsi" w:hAnsiTheme="majorHAnsi"/>
          <w:sz w:val="28"/>
          <w:szCs w:val="28"/>
        </w:rPr>
        <w:t>na</w:t>
      </w:r>
      <w:proofErr w:type="gramEnd"/>
      <w:r>
        <w:rPr>
          <w:rFonts w:asciiTheme="majorHAnsi" w:hAnsiTheme="majorHAnsi"/>
          <w:sz w:val="28"/>
          <w:szCs w:val="28"/>
        </w:rPr>
        <w:t xml:space="preserve"> ležištu “Bosiljna“, kojim je potvrđeno da se tehniĉko – građevni kamen u navedenom lež</w:t>
      </w:r>
      <w:r w:rsidR="003639DD" w:rsidRPr="008923E3">
        <w:rPr>
          <w:rFonts w:asciiTheme="majorHAnsi" w:hAnsiTheme="majorHAnsi"/>
          <w:sz w:val="28"/>
          <w:szCs w:val="28"/>
        </w:rPr>
        <w:t>ištu po svom kvalitetu mogu kor</w:t>
      </w:r>
      <w:r>
        <w:rPr>
          <w:rFonts w:asciiTheme="majorHAnsi" w:hAnsiTheme="majorHAnsi"/>
          <w:sz w:val="28"/>
          <w:szCs w:val="28"/>
        </w:rPr>
        <w:t>istiti za razliĉite svrhe u građ</w:t>
      </w:r>
      <w:r w:rsidR="003639DD" w:rsidRPr="008923E3">
        <w:rPr>
          <w:rFonts w:asciiTheme="majorHAnsi" w:hAnsiTheme="majorHAnsi"/>
          <w:sz w:val="28"/>
          <w:szCs w:val="28"/>
        </w:rPr>
        <w:t>evinarstvu. Na osnovu ovog elabo</w:t>
      </w:r>
      <w:r>
        <w:rPr>
          <w:rFonts w:asciiTheme="majorHAnsi" w:hAnsiTheme="majorHAnsi"/>
          <w:sz w:val="28"/>
          <w:szCs w:val="28"/>
        </w:rPr>
        <w:t>rata izdano je Rješenje o potvrđ</w:t>
      </w:r>
      <w:r w:rsidR="003639DD" w:rsidRPr="008923E3">
        <w:rPr>
          <w:rFonts w:asciiTheme="majorHAnsi" w:hAnsiTheme="majorHAnsi"/>
          <w:sz w:val="28"/>
          <w:szCs w:val="28"/>
        </w:rPr>
        <w:t xml:space="preserve">ivanju geoloških rezervi i kvaliteta mineralne sirovine t - g kamena </w:t>
      </w:r>
      <w:proofErr w:type="gramStart"/>
      <w:r w:rsidR="003639DD" w:rsidRPr="008923E3">
        <w:rPr>
          <w:rFonts w:asciiTheme="majorHAnsi" w:hAnsiTheme="majorHAnsi"/>
          <w:sz w:val="28"/>
          <w:szCs w:val="28"/>
        </w:rPr>
        <w:t>u  leţištu</w:t>
      </w:r>
      <w:proofErr w:type="gramEnd"/>
      <w:r w:rsidR="003639DD" w:rsidRPr="008923E3">
        <w:rPr>
          <w:rFonts w:asciiTheme="majorHAnsi" w:hAnsiTheme="majorHAnsi"/>
          <w:sz w:val="28"/>
          <w:szCs w:val="28"/>
        </w:rPr>
        <w:t xml:space="preserve"> “Bosiljna“ kod Posušja, broj: 05-03-18-377/14 od 18.06.2014. </w:t>
      </w:r>
      <w:proofErr w:type="gramStart"/>
      <w:r w:rsidR="003639DD" w:rsidRPr="008923E3">
        <w:rPr>
          <w:rFonts w:asciiTheme="majorHAnsi" w:hAnsiTheme="majorHAnsi"/>
          <w:sz w:val="28"/>
          <w:szCs w:val="28"/>
        </w:rPr>
        <w:t>godine</w:t>
      </w:r>
      <w:proofErr w:type="gramEnd"/>
      <w:r w:rsidR="003639DD" w:rsidRPr="008923E3">
        <w:rPr>
          <w:rFonts w:asciiTheme="majorHAnsi" w:hAnsiTheme="majorHAnsi"/>
          <w:sz w:val="28"/>
          <w:szCs w:val="28"/>
        </w:rPr>
        <w:t xml:space="preserve"> od strane Federalnog ministarstva energije, rudarstva i industrije, ĉija kopija je data u prilogu. </w:t>
      </w:r>
    </w:p>
    <w:p w:rsidR="003639DD" w:rsidRPr="008923E3" w:rsidRDefault="003639DD" w:rsidP="008923E3">
      <w:pPr>
        <w:spacing w:after="7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Površina predmetnog površinskog ko</w:t>
      </w:r>
      <w:r w:rsidR="008923E3">
        <w:rPr>
          <w:rFonts w:asciiTheme="majorHAnsi" w:hAnsiTheme="majorHAnsi"/>
          <w:sz w:val="28"/>
          <w:szCs w:val="28"/>
        </w:rPr>
        <w:t>pa (kamenoloma) tehniĉkog - građ</w:t>
      </w:r>
      <w:r w:rsidRPr="008923E3">
        <w:rPr>
          <w:rFonts w:asciiTheme="majorHAnsi" w:hAnsiTheme="majorHAnsi"/>
          <w:sz w:val="28"/>
          <w:szCs w:val="28"/>
        </w:rPr>
        <w:t xml:space="preserve">evinskog kamena </w:t>
      </w:r>
      <w:proofErr w:type="gramStart"/>
      <w:r w:rsidRPr="008923E3">
        <w:rPr>
          <w:rFonts w:asciiTheme="majorHAnsi" w:hAnsiTheme="majorHAnsi"/>
          <w:sz w:val="28"/>
          <w:szCs w:val="28"/>
        </w:rPr>
        <w:t>je  69,3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ha. </w:t>
      </w:r>
    </w:p>
    <w:p w:rsidR="003639DD" w:rsidRPr="008923E3" w:rsidRDefault="008923E3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Lež</w:t>
      </w:r>
      <w:r w:rsidR="003639DD" w:rsidRPr="008923E3">
        <w:rPr>
          <w:rFonts w:asciiTheme="majorHAnsi" w:hAnsiTheme="majorHAnsi"/>
          <w:sz w:val="28"/>
          <w:szCs w:val="28"/>
        </w:rPr>
        <w:t xml:space="preserve">ište Bosiljna se nalazi </w:t>
      </w:r>
      <w:proofErr w:type="gramStart"/>
      <w:r w:rsidR="003639DD"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="003639DD" w:rsidRPr="008923E3">
        <w:rPr>
          <w:rFonts w:asciiTheme="majorHAnsi" w:hAnsiTheme="majorHAnsi"/>
          <w:sz w:val="28"/>
          <w:szCs w:val="28"/>
        </w:rPr>
        <w:t xml:space="preserve"> sjeverozapadnim padinama Runjave Kose, zapadno od kote 1494, odnosno istoĉno od Rakitna. Nalazi se na nadmorskoj visini od 1250 m do 1480 m. U blizini leţišta nema naselja Najbliţa naselja su Pokleĉeni (zaseok Mihalji)</w:t>
      </w:r>
      <w:r w:rsidR="003639DD" w:rsidRPr="008923E3">
        <w:rPr>
          <w:rFonts w:asciiTheme="majorHAnsi" w:hAnsiTheme="majorHAnsi"/>
          <w:color w:val="FF0000"/>
          <w:sz w:val="28"/>
          <w:szCs w:val="28"/>
        </w:rPr>
        <w:t xml:space="preserve"> </w:t>
      </w:r>
      <w:r w:rsidR="003639DD" w:rsidRPr="008923E3">
        <w:rPr>
          <w:rFonts w:asciiTheme="majorHAnsi" w:hAnsiTheme="majorHAnsi"/>
          <w:sz w:val="28"/>
          <w:szCs w:val="28"/>
        </w:rPr>
        <w:t xml:space="preserve">– zapadno i Sutina – juţno od leţišta. </w:t>
      </w:r>
    </w:p>
    <w:p w:rsidR="003639DD" w:rsidRPr="008923E3" w:rsidRDefault="008923E3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Od Posušja je lež</w:t>
      </w:r>
      <w:r w:rsidR="003639DD" w:rsidRPr="008923E3">
        <w:rPr>
          <w:rFonts w:asciiTheme="majorHAnsi" w:hAnsiTheme="majorHAnsi"/>
          <w:sz w:val="28"/>
          <w:szCs w:val="28"/>
        </w:rPr>
        <w:t xml:space="preserve">ište udaljeno 29 km regionalnom cestom prema parku prirode Blidinje </w:t>
      </w:r>
      <w:proofErr w:type="gramStart"/>
      <w:r w:rsidR="003639DD" w:rsidRPr="008923E3">
        <w:rPr>
          <w:rFonts w:asciiTheme="majorHAnsi" w:hAnsiTheme="majorHAnsi"/>
          <w:sz w:val="28"/>
          <w:szCs w:val="28"/>
        </w:rPr>
        <w:t>sa</w:t>
      </w:r>
      <w:proofErr w:type="gramEnd"/>
      <w:r w:rsidR="003639DD" w:rsidRPr="008923E3">
        <w:rPr>
          <w:rFonts w:asciiTheme="majorHAnsi" w:hAnsiTheme="majorHAnsi"/>
          <w:sz w:val="28"/>
          <w:szCs w:val="28"/>
        </w:rPr>
        <w:t xml:space="preserve"> koje se odvaja put prema leţištu. </w:t>
      </w:r>
    </w:p>
    <w:p w:rsidR="003639DD" w:rsidRPr="008923E3" w:rsidRDefault="003639DD" w:rsidP="008923E3">
      <w:pPr>
        <w:spacing w:after="20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Prema prostorno-planskoj dokumentaciji općine Posušje ova lokacija je namijenjena za eksploataciju industrijske mi</w:t>
      </w:r>
      <w:r w:rsidR="008923E3">
        <w:rPr>
          <w:rFonts w:asciiTheme="majorHAnsi" w:hAnsiTheme="majorHAnsi"/>
          <w:sz w:val="28"/>
          <w:szCs w:val="28"/>
        </w:rPr>
        <w:t>neralne sirovine – tehniĉko-građ</w:t>
      </w:r>
      <w:r w:rsidRPr="008923E3">
        <w:rPr>
          <w:rFonts w:asciiTheme="majorHAnsi" w:hAnsiTheme="majorHAnsi"/>
          <w:sz w:val="28"/>
          <w:szCs w:val="28"/>
        </w:rPr>
        <w:t xml:space="preserve">evinskog kamena. </w:t>
      </w:r>
    </w:p>
    <w:p w:rsidR="003639DD" w:rsidRPr="008923E3" w:rsidRDefault="003639DD" w:rsidP="008923E3">
      <w:pPr>
        <w:spacing w:after="52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Istra</w:t>
      </w:r>
      <w:r w:rsidR="008923E3">
        <w:rPr>
          <w:rFonts w:asciiTheme="majorHAnsi" w:hAnsiTheme="majorHAnsi"/>
          <w:sz w:val="28"/>
          <w:szCs w:val="28"/>
        </w:rPr>
        <w:t>ž</w:t>
      </w:r>
      <w:r w:rsidRPr="008923E3">
        <w:rPr>
          <w:rFonts w:asciiTheme="majorHAnsi" w:hAnsiTheme="majorHAnsi"/>
          <w:sz w:val="28"/>
          <w:szCs w:val="28"/>
        </w:rPr>
        <w:t xml:space="preserve">ni prostor je lociran istoĉno od </w:t>
      </w:r>
      <w:proofErr w:type="gramStart"/>
      <w:r w:rsidRPr="008923E3">
        <w:rPr>
          <w:rFonts w:asciiTheme="majorHAnsi" w:hAnsiTheme="majorHAnsi"/>
          <w:sz w:val="28"/>
          <w:szCs w:val="28"/>
        </w:rPr>
        <w:t>regionalne  prometnice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Posušje – Blidinje s koje se i odvaja šumski put </w:t>
      </w:r>
      <w:r w:rsidR="008923E3">
        <w:rPr>
          <w:rFonts w:asciiTheme="majorHAnsi" w:hAnsiTheme="majorHAnsi"/>
          <w:sz w:val="28"/>
          <w:szCs w:val="28"/>
        </w:rPr>
        <w:t>do samog lokaliteta, a do istraž</w:t>
      </w:r>
      <w:r w:rsidRPr="008923E3">
        <w:rPr>
          <w:rFonts w:asciiTheme="majorHAnsi" w:hAnsiTheme="majorHAnsi"/>
          <w:sz w:val="28"/>
          <w:szCs w:val="28"/>
        </w:rPr>
        <w:t>nog prostora v</w:t>
      </w:r>
      <w:r w:rsidR="008923E3">
        <w:rPr>
          <w:rFonts w:asciiTheme="majorHAnsi" w:hAnsiTheme="majorHAnsi"/>
          <w:sz w:val="28"/>
          <w:szCs w:val="28"/>
        </w:rPr>
        <w:t>odi i rudarska prometnica izgrađ</w:t>
      </w:r>
      <w:r w:rsidRPr="008923E3">
        <w:rPr>
          <w:rFonts w:asciiTheme="majorHAnsi" w:hAnsiTheme="majorHAnsi"/>
          <w:sz w:val="28"/>
          <w:szCs w:val="28"/>
        </w:rPr>
        <w:t xml:space="preserve">ena za potrebe “Ukraskamena” iz Posušja, koji je prije rata na predmetnom lokalitetu izvodio probnu eksploataciju.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Površinska eksploatacija mineralnih sirovina, odnosno formiranje kamenoloma i otvorenih kopova predstavlja djelatnost koja negativno utjeĉe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okoliš, jer razorno djeluje na pedosferu, odnosno na tlo, reljef, floru i faunu, te mijenja izvorni izgled krajolika. Postojeći ekosistemi se narušavaju i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tom mjestu se otvorenom eksploatacijom kamena formira antropogeni prostor sa koje je uklonjena vegetacija i humusni pokrov, te formirane </w:t>
      </w:r>
      <w:r w:rsidRPr="008923E3">
        <w:rPr>
          <w:rFonts w:asciiTheme="majorHAnsi" w:hAnsiTheme="majorHAnsi"/>
          <w:sz w:val="28"/>
          <w:szCs w:val="28"/>
        </w:rPr>
        <w:lastRenderedPageBreak/>
        <w:t xml:space="preserve">udubljene terase za eksploataciju kamena, jalovište i infrastrukturni objekti. Zbog toga je u postupku rješavanja i odobravanja lokacije za kamenolom potrebno provesti proceduru identifikacije i evaluacije svih utjecaja na okoliš, kao i iznalaţenja najefikasnijih mjera za spreĉavanje ili smanjivanje emisija u okoliš u svrhu izdavanja okolišne dozvole, shodno odredbama Pravilnika o pogonima i postrojenjima za koje je obavezna procjena utjecaja na okoliš i pogonima i postrojenjima koji mogu biti izgraĊeni i pušteni u rad samo ako imaju okolinsku dozvolu (“Sluţbene novine Federacije BiH“, broj: 19/04) i drugim propisima o zaštiti okoliša.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Za predmetni kamenolom uraĊena je prethodna procjena utjecaja i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osnovu iste izdato je rješenje o izradi studije o utjecaju na okoliš od strane Federalnog ministarstva prostornog ureĊenja i okolice. Rezultati prethodne procjene su ukljuĉeni u ovu studiju o utjecaju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Namjera je investitora da projektira i izgradi površinski kop </w:t>
      </w:r>
      <w:proofErr w:type="gramStart"/>
      <w:r w:rsidRPr="008923E3">
        <w:rPr>
          <w:rFonts w:asciiTheme="majorHAnsi" w:hAnsiTheme="majorHAnsi"/>
          <w:sz w:val="28"/>
          <w:szCs w:val="28"/>
        </w:rPr>
        <w:t>sa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pratećim sadrţajima saglasno sa principima dobre eksploatacijske prakse i zahtjevima vezanim za zaštitu okoliša, te zdravlje i bezbijednost ljudi. Projekat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u potpunosti uvaţi zahtjeve za postizanje najpovojnijih tehniĉkih i tehnoloških mogućnosti oĉuvanja okoliša prilikom eksploatacije i prerade tehniĉko-graĊevinskog kamena, kako bi se sprijeĉili ili maksimalno reducirali svi mogući utjecaji na okoliš. </w:t>
      </w:r>
    </w:p>
    <w:p w:rsidR="003639DD" w:rsidRPr="008923E3" w:rsidRDefault="003639DD" w:rsidP="008923E3">
      <w:pPr>
        <w:spacing w:after="292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b/>
          <w:sz w:val="28"/>
          <w:szCs w:val="28"/>
        </w:rPr>
        <w:t xml:space="preserve"> </w:t>
      </w:r>
    </w:p>
    <w:p w:rsidR="003639DD" w:rsidRPr="008923E3" w:rsidRDefault="003639DD" w:rsidP="008923E3">
      <w:pPr>
        <w:pStyle w:val="Heading3"/>
        <w:ind w:left="-5" w:right="1008"/>
        <w:jc w:val="both"/>
        <w:rPr>
          <w:rFonts w:asciiTheme="majorHAnsi" w:hAnsiTheme="majorHAnsi"/>
          <w:sz w:val="28"/>
          <w:szCs w:val="28"/>
        </w:rPr>
      </w:pPr>
      <w:bookmarkStart w:id="1" w:name="_Toc86400"/>
      <w:r w:rsidRPr="008923E3">
        <w:rPr>
          <w:rFonts w:asciiTheme="majorHAnsi" w:hAnsiTheme="majorHAnsi"/>
          <w:sz w:val="28"/>
          <w:szCs w:val="28"/>
        </w:rPr>
        <w:t xml:space="preserve">10.1. </w:t>
      </w:r>
      <w:r w:rsidRPr="008923E3">
        <w:rPr>
          <w:rFonts w:asciiTheme="majorHAnsi" w:hAnsiTheme="majorHAnsi"/>
          <w:b/>
          <w:sz w:val="28"/>
          <w:szCs w:val="28"/>
        </w:rPr>
        <w:t>Opis okoliša</w:t>
      </w:r>
      <w:r w:rsidRPr="008923E3">
        <w:rPr>
          <w:rFonts w:asciiTheme="majorHAnsi" w:hAnsiTheme="majorHAnsi"/>
          <w:sz w:val="28"/>
          <w:szCs w:val="28"/>
        </w:rPr>
        <w:t xml:space="preserve"> </w:t>
      </w:r>
      <w:bookmarkEnd w:id="1"/>
    </w:p>
    <w:p w:rsidR="003639DD" w:rsidRPr="008923E3" w:rsidRDefault="003639DD" w:rsidP="008923E3">
      <w:pPr>
        <w:spacing w:after="55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b/>
          <w:sz w:val="28"/>
          <w:szCs w:val="28"/>
        </w:rPr>
        <w:t xml:space="preserve"> </w:t>
      </w:r>
      <w:bookmarkStart w:id="2" w:name="_GoBack"/>
      <w:bookmarkEnd w:id="2"/>
    </w:p>
    <w:p w:rsidR="003639DD" w:rsidRPr="008923E3" w:rsidRDefault="003639DD" w:rsidP="008923E3">
      <w:pPr>
        <w:spacing w:after="14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Leţište Bosiljna se nalazi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sjeverozapadnim padinama Runjave Kose, zapadno od kote 1494, odnosno istoĉno od Rakitna. Nalazi se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nadmorskoj visini od 1250 m do 1600 m.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U blizini leţišta </w:t>
      </w:r>
      <w:proofErr w:type="gramStart"/>
      <w:r w:rsidRPr="008923E3">
        <w:rPr>
          <w:rFonts w:asciiTheme="majorHAnsi" w:hAnsiTheme="majorHAnsi"/>
          <w:sz w:val="28"/>
          <w:szCs w:val="28"/>
        </w:rPr>
        <w:t>nema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naselja, ako zanemarimo nekoliko kuća Bukovca i Gornjih Vlašana. Najbliţa naselja su Pokleĉani – zapadno i Sutina – juţno.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Od Posušja je leţište udaljeno 29 km regionalnom cestom koja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prema planu u bliţoj budućnosti u cjelosti asfaltirati i pošto ta trasa predstavlja najbliţu vezu Posušja s Jablanicom. Time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prometne veze Posušje s leţištem Bosiljna bitno poboljšati. </w:t>
      </w:r>
    </w:p>
    <w:p w:rsidR="003639DD" w:rsidRPr="008923E3" w:rsidRDefault="003639DD" w:rsidP="008923E3">
      <w:pPr>
        <w:spacing w:after="5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Leţište se nalazi u podruĉju gdje livade s niskim grmljem poĉinju zamjenjivati visoka bjelogoriĉna šuma. Podruĉje je kamenito, izrazito karatno s brojnim razasutim vrtaĉama, tako da mjestimice poprima izgled boginjavog karata.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Klima u podruĉju leţišta je kontinentalna, s oštrim zimama. Za vrijeme zimskog perioda eksploatacija je onemogućena, </w:t>
      </w:r>
      <w:proofErr w:type="gramStart"/>
      <w:r w:rsidRPr="008923E3">
        <w:rPr>
          <w:rFonts w:asciiTheme="majorHAnsi" w:hAnsiTheme="majorHAnsi"/>
          <w:sz w:val="28"/>
          <w:szCs w:val="28"/>
        </w:rPr>
        <w:t>te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mora prekdati.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S obzirom da je poloţaj predmetnog lokaliteta „Bosiljna</w:t>
      </w:r>
      <w:proofErr w:type="gramStart"/>
      <w:r w:rsidRPr="008923E3">
        <w:rPr>
          <w:rFonts w:asciiTheme="majorHAnsi" w:hAnsiTheme="majorHAnsi"/>
          <w:sz w:val="28"/>
          <w:szCs w:val="28"/>
        </w:rPr>
        <w:t>“ izvan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naseljenih podruĉja u prirodnoj uvali, procjenjeno je da utjecaj eksploatacije i prerade tehniĉkog – graĊevnog kamena na istom neće imati izraţene negativne utjecaje na stanovništvo iz razloga veće udaljenosti i okruţenosti brdima obraslim šumskom vegetacijom, a tehnološki procesi eksploatacije i prerade </w:t>
      </w:r>
      <w:r w:rsidRPr="008923E3">
        <w:rPr>
          <w:rFonts w:asciiTheme="majorHAnsi" w:hAnsiTheme="majorHAnsi"/>
          <w:sz w:val="28"/>
          <w:szCs w:val="28"/>
        </w:rPr>
        <w:lastRenderedPageBreak/>
        <w:t xml:space="preserve">bit će strogo kontrolirani uz  primjenu definisanih tehniĉkotehnoloških mjera i mjera zaštite okoliša.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Shodno navedenom, izbor ovog lokaliteta predstavlja najpovoljnije rješenje u datim okolnostima, zbog velikih geoloških zaliha kvalitetnog tehniĉkog kamena utvrĊenih detaljnim istraţivanjima, poloţaja lokacije, </w:t>
      </w:r>
      <w:proofErr w:type="gramStart"/>
      <w:r w:rsidRPr="008923E3">
        <w:rPr>
          <w:rFonts w:asciiTheme="majorHAnsi" w:hAnsiTheme="majorHAnsi"/>
          <w:sz w:val="28"/>
          <w:szCs w:val="28"/>
        </w:rPr>
        <w:t>te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otvaranja proizvodnih objekata u svrhu brţeg zapošljavanja i privrednog razvoja. </w:t>
      </w:r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pStyle w:val="Heading3"/>
        <w:ind w:left="-5" w:right="1008"/>
        <w:jc w:val="both"/>
        <w:rPr>
          <w:rFonts w:asciiTheme="majorHAnsi" w:hAnsiTheme="majorHAnsi"/>
          <w:sz w:val="28"/>
          <w:szCs w:val="28"/>
        </w:rPr>
      </w:pPr>
      <w:bookmarkStart w:id="3" w:name="_Toc86401"/>
      <w:r w:rsidRPr="008923E3">
        <w:rPr>
          <w:rFonts w:asciiTheme="majorHAnsi" w:hAnsiTheme="majorHAnsi"/>
          <w:sz w:val="28"/>
          <w:szCs w:val="28"/>
        </w:rPr>
        <w:t>10</w:t>
      </w:r>
      <w:r w:rsidRPr="008923E3">
        <w:rPr>
          <w:rFonts w:asciiTheme="majorHAnsi" w:hAnsiTheme="majorHAnsi"/>
          <w:b/>
          <w:sz w:val="28"/>
          <w:szCs w:val="28"/>
        </w:rPr>
        <w:t xml:space="preserve">.2. Opis projekta </w:t>
      </w:r>
      <w:bookmarkEnd w:id="3"/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Planirani zahvat obuhvaća eksploatacijsko polje kamenoloma «Bosiljna», ukupne površine oko 69</w:t>
      </w:r>
      <w:proofErr w:type="gramStart"/>
      <w:r w:rsidRPr="008923E3">
        <w:rPr>
          <w:rFonts w:asciiTheme="majorHAnsi" w:hAnsiTheme="majorHAnsi"/>
          <w:sz w:val="28"/>
          <w:szCs w:val="28"/>
        </w:rPr>
        <w:t>,3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ha. U okviru definiranog eksploatacijskog polja kamen će se eksploatirati površinski, otvorenim kopom i to metodom etaţa u visinskim zahvatima od 10 m, sa ukopavanjem eksploatacijskog polja ispod nivoa prirodnog terena (niskop), uz upotrebu minsko-eksplozivnih sredstava za razaranje kompaktnih stijena. Dubinsko formiranje eksploatacijskog polja ima odreĊene ekološke pogodnosti zbog ublaţavanja intenziteta i disperzije zvuĉne energije i disperzije mineralne prašine u okolinu.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Prije poĉetka eksploatacije tehniĉko – graĊevnog kamena na lokalitetu “Bosiljna</w:t>
      </w:r>
      <w:proofErr w:type="gramStart"/>
      <w:r w:rsidRPr="008923E3">
        <w:rPr>
          <w:rFonts w:asciiTheme="majorHAnsi" w:hAnsiTheme="majorHAnsi"/>
          <w:sz w:val="28"/>
          <w:szCs w:val="28"/>
        </w:rPr>
        <w:t>“ bit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će potrebno izvršiti odreĊene tehniĉke i tehnološke pripreme u cilju obezbjeĊivanja uvjeta za normalno odvijanje tehnoloških procesa eksploatacije i prerade tehniĉko- graĊevinskog kamena i to: </w:t>
      </w:r>
    </w:p>
    <w:p w:rsidR="003639DD" w:rsidRPr="008923E3" w:rsidRDefault="003639DD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izvršiti krĉenje i uklanjanje rastinja, drvne mase i v</w:t>
      </w:r>
      <w:r w:rsidR="008923E3">
        <w:rPr>
          <w:rFonts w:asciiTheme="majorHAnsi" w:hAnsiTheme="majorHAnsi"/>
          <w:sz w:val="28"/>
          <w:szCs w:val="28"/>
        </w:rPr>
        <w:t>aĊenje panjeva na dijelu predviđ</w:t>
      </w:r>
      <w:r w:rsidRPr="008923E3">
        <w:rPr>
          <w:rFonts w:asciiTheme="majorHAnsi" w:hAnsiTheme="majorHAnsi"/>
          <w:sz w:val="28"/>
          <w:szCs w:val="28"/>
        </w:rPr>
        <w:t xml:space="preserve">enom za prvu fazu eksploatacije i dalje sukcesivno sa napredovanjem radova, </w:t>
      </w:r>
    </w:p>
    <w:p w:rsidR="003639DD" w:rsidRPr="008923E3" w:rsidRDefault="003639DD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izvršiti skidanje humusnog sloja (otkrivke), </w:t>
      </w:r>
    </w:p>
    <w:p w:rsidR="003639DD" w:rsidRPr="008923E3" w:rsidRDefault="003639DD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formiranje radnih etaţa i pristupnih rampi na radne etaţe u skladu sa glavnim rudarskim projektom, </w:t>
      </w:r>
    </w:p>
    <w:p w:rsidR="003639DD" w:rsidRPr="008923E3" w:rsidRDefault="008923E3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uređ</w:t>
      </w:r>
      <w:r w:rsidR="003639DD" w:rsidRPr="008923E3">
        <w:rPr>
          <w:rFonts w:asciiTheme="majorHAnsi" w:hAnsiTheme="majorHAnsi"/>
          <w:sz w:val="28"/>
          <w:szCs w:val="28"/>
        </w:rPr>
        <w:t>enje radnog platoa u skladu sa projektom i ovom s</w:t>
      </w:r>
      <w:r>
        <w:rPr>
          <w:rFonts w:asciiTheme="majorHAnsi" w:hAnsiTheme="majorHAnsi"/>
          <w:sz w:val="28"/>
          <w:szCs w:val="28"/>
        </w:rPr>
        <w:t>tudijom u cilju obezbjeđ</w:t>
      </w:r>
      <w:r w:rsidR="003639DD" w:rsidRPr="008923E3">
        <w:rPr>
          <w:rFonts w:asciiTheme="majorHAnsi" w:hAnsiTheme="majorHAnsi"/>
          <w:sz w:val="28"/>
          <w:szCs w:val="28"/>
        </w:rPr>
        <w:t xml:space="preserve">enja normalnih tehnoloških uvjeta za rad i zaštite okoliša, </w:t>
      </w:r>
    </w:p>
    <w:p w:rsidR="003639DD" w:rsidRPr="008923E3" w:rsidRDefault="003639DD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izgradnja i ureĊenje internih komunikacija u skladu sa rudarskim projektom, </w:t>
      </w:r>
    </w:p>
    <w:p w:rsidR="003639DD" w:rsidRPr="008923E3" w:rsidRDefault="003639DD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rekonstrukcija i proširenje pristupnog puta od magistralnog puta  do osnovne radne etaţe u skladu sa uvjetima iz putne saglasnosti u cilju bezbijednog i normalnog odvijanja saobraćaja,  </w:t>
      </w:r>
    </w:p>
    <w:p w:rsidR="003639DD" w:rsidRPr="008923E3" w:rsidRDefault="003639DD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montiranje drobiliĉnog postrojenja i klasirnice, </w:t>
      </w:r>
    </w:p>
    <w:p w:rsidR="003639DD" w:rsidRPr="008923E3" w:rsidRDefault="003639DD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izgradnja hidrotehni</w:t>
      </w:r>
      <w:r w:rsidR="008923E3">
        <w:rPr>
          <w:rFonts w:asciiTheme="majorHAnsi" w:hAnsiTheme="majorHAnsi"/>
          <w:sz w:val="28"/>
          <w:szCs w:val="28"/>
        </w:rPr>
        <w:t>ĉkih objekata za prihvat i odvođ</w:t>
      </w:r>
      <w:r w:rsidRPr="008923E3">
        <w:rPr>
          <w:rFonts w:asciiTheme="majorHAnsi" w:hAnsiTheme="majorHAnsi"/>
          <w:sz w:val="28"/>
          <w:szCs w:val="28"/>
        </w:rPr>
        <w:t xml:space="preserve">enje oborinskih voda, te sistema kanalizacije i tretmana otpadnih voda, </w:t>
      </w:r>
    </w:p>
    <w:p w:rsidR="003639DD" w:rsidRPr="008923E3" w:rsidRDefault="008923E3" w:rsidP="005B71DF">
      <w:pPr>
        <w:numPr>
          <w:ilvl w:val="0"/>
          <w:numId w:val="1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lastRenderedPageBreak/>
        <w:t>obezbjeđ</w:t>
      </w:r>
      <w:r w:rsidR="003639DD" w:rsidRPr="008923E3">
        <w:rPr>
          <w:rFonts w:asciiTheme="majorHAnsi" w:hAnsiTheme="majorHAnsi"/>
          <w:sz w:val="28"/>
          <w:szCs w:val="28"/>
        </w:rPr>
        <w:t>enje</w:t>
      </w:r>
      <w:proofErr w:type="gramEnd"/>
      <w:r w:rsidR="003639DD" w:rsidRPr="008923E3">
        <w:rPr>
          <w:rFonts w:asciiTheme="majorHAnsi" w:hAnsiTheme="majorHAnsi"/>
          <w:sz w:val="28"/>
          <w:szCs w:val="28"/>
        </w:rPr>
        <w:t xml:space="preserve"> drugih uvjeta za eksploa</w:t>
      </w:r>
      <w:r>
        <w:rPr>
          <w:rFonts w:asciiTheme="majorHAnsi" w:hAnsiTheme="majorHAnsi"/>
          <w:sz w:val="28"/>
          <w:szCs w:val="28"/>
        </w:rPr>
        <w:t>taciju i preradu tehniĉko – građ</w:t>
      </w:r>
      <w:r w:rsidR="003639DD" w:rsidRPr="008923E3">
        <w:rPr>
          <w:rFonts w:asciiTheme="majorHAnsi" w:hAnsiTheme="majorHAnsi"/>
          <w:sz w:val="28"/>
          <w:szCs w:val="28"/>
        </w:rPr>
        <w:t xml:space="preserve">evnog kamena na predmetnoj lokaciji.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Površinski kop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razvijati fo</w:t>
      </w:r>
      <w:r w:rsidR="008923E3">
        <w:rPr>
          <w:rFonts w:asciiTheme="majorHAnsi" w:hAnsiTheme="majorHAnsi"/>
          <w:sz w:val="28"/>
          <w:szCs w:val="28"/>
        </w:rPr>
        <w:t>rmiranjem etaţa sa određenom međ</w:t>
      </w:r>
      <w:r w:rsidRPr="008923E3">
        <w:rPr>
          <w:rFonts w:asciiTheme="majorHAnsi" w:hAnsiTheme="majorHAnsi"/>
          <w:sz w:val="28"/>
          <w:szCs w:val="28"/>
        </w:rPr>
        <w:t xml:space="preserve">usobnom visinskom razlikom prema projektiranom rješenju. </w:t>
      </w:r>
    </w:p>
    <w:p w:rsidR="003639DD" w:rsidRPr="008923E3" w:rsidRDefault="003639DD" w:rsidP="008923E3">
      <w:pPr>
        <w:spacing w:after="7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Proces eksploatacije rovnog kamena sastoji se </w:t>
      </w:r>
      <w:proofErr w:type="gramStart"/>
      <w:r w:rsidRPr="008923E3">
        <w:rPr>
          <w:rFonts w:asciiTheme="majorHAnsi" w:hAnsiTheme="majorHAnsi"/>
          <w:sz w:val="28"/>
          <w:szCs w:val="28"/>
        </w:rPr>
        <w:t>od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sljedećih tehnoloških faza: </w:t>
      </w:r>
    </w:p>
    <w:p w:rsidR="003639DD" w:rsidRPr="008923E3" w:rsidRDefault="003639DD" w:rsidP="005B71DF">
      <w:pPr>
        <w:numPr>
          <w:ilvl w:val="0"/>
          <w:numId w:val="2"/>
        </w:numPr>
        <w:spacing w:after="42" w:line="271" w:lineRule="auto"/>
        <w:ind w:right="845" w:hanging="26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Otkrivka - skidanje i uklanjanje raslinja i jalovinskog pokrova; </w:t>
      </w:r>
    </w:p>
    <w:p w:rsidR="003639DD" w:rsidRPr="008923E3" w:rsidRDefault="003639DD" w:rsidP="005B71DF">
      <w:pPr>
        <w:numPr>
          <w:ilvl w:val="0"/>
          <w:numId w:val="2"/>
        </w:numPr>
        <w:spacing w:after="9" w:line="271" w:lineRule="auto"/>
        <w:ind w:right="845" w:hanging="26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Bušenje i miniranje dubokih minskih bušotina; </w:t>
      </w:r>
    </w:p>
    <w:p w:rsidR="003639DD" w:rsidRPr="008923E3" w:rsidRDefault="003639DD" w:rsidP="005B71DF">
      <w:pPr>
        <w:numPr>
          <w:ilvl w:val="0"/>
          <w:numId w:val="2"/>
        </w:numPr>
        <w:spacing w:after="7" w:line="271" w:lineRule="auto"/>
        <w:ind w:right="845" w:hanging="26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Usitnjavanje vangabaritnih blokova na sitnije komade; </w:t>
      </w:r>
    </w:p>
    <w:p w:rsidR="003639DD" w:rsidRPr="008923E3" w:rsidRDefault="003639DD" w:rsidP="005B71DF">
      <w:pPr>
        <w:numPr>
          <w:ilvl w:val="0"/>
          <w:numId w:val="2"/>
        </w:numPr>
        <w:spacing w:after="4" w:line="271" w:lineRule="auto"/>
        <w:ind w:right="845" w:hanging="26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Utovar rovnog kamena i transport do postrojenja za drobljenje i klasiranje na osnovnom platou, na k +1260; </w:t>
      </w:r>
    </w:p>
    <w:p w:rsidR="003639DD" w:rsidRPr="008923E3" w:rsidRDefault="003639DD" w:rsidP="005B71DF">
      <w:pPr>
        <w:numPr>
          <w:ilvl w:val="0"/>
          <w:numId w:val="2"/>
        </w:numPr>
        <w:spacing w:after="42" w:line="271" w:lineRule="auto"/>
        <w:ind w:right="845" w:hanging="266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dobijanje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mineralne sirovine kombajnom Wirtgen 6. Tehniĉka i biološka rekultivacija završnih kosina kopa nakon okonĉanja eksploatacije. </w:t>
      </w:r>
    </w:p>
    <w:p w:rsidR="003639DD" w:rsidRPr="008923E3" w:rsidRDefault="003639DD" w:rsidP="008923E3">
      <w:pPr>
        <w:spacing w:after="32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1631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Prerada rovnog kamena vršiti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na mobilnom kamenolomskom postrojenju kroz sljedeće tehnološke operacije: </w:t>
      </w:r>
    </w:p>
    <w:p w:rsidR="003639DD" w:rsidRPr="008923E3" w:rsidRDefault="003639DD" w:rsidP="005B71DF">
      <w:pPr>
        <w:numPr>
          <w:ilvl w:val="0"/>
          <w:numId w:val="3"/>
        </w:numPr>
        <w:spacing w:after="7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ĉišĉenje-odabiranje ili oplemenjivanje kamena, </w:t>
      </w:r>
    </w:p>
    <w:p w:rsidR="003639DD" w:rsidRPr="008923E3" w:rsidRDefault="003639DD" w:rsidP="005B71DF">
      <w:pPr>
        <w:numPr>
          <w:ilvl w:val="0"/>
          <w:numId w:val="3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drobijenje kamena, </w:t>
      </w:r>
    </w:p>
    <w:p w:rsidR="003639DD" w:rsidRPr="008923E3" w:rsidRDefault="003639DD" w:rsidP="005B71DF">
      <w:pPr>
        <w:numPr>
          <w:ilvl w:val="0"/>
          <w:numId w:val="3"/>
        </w:numPr>
        <w:spacing w:after="7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prosijavanje, </w:t>
      </w:r>
    </w:p>
    <w:p w:rsidR="003639DD" w:rsidRPr="008923E3" w:rsidRDefault="003639DD" w:rsidP="005B71DF">
      <w:pPr>
        <w:numPr>
          <w:ilvl w:val="0"/>
          <w:numId w:val="3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transport i </w:t>
      </w:r>
    </w:p>
    <w:p w:rsidR="003639DD" w:rsidRPr="008923E3" w:rsidRDefault="003639DD" w:rsidP="005B71DF">
      <w:pPr>
        <w:numPr>
          <w:ilvl w:val="0"/>
          <w:numId w:val="3"/>
        </w:numPr>
        <w:spacing w:after="42" w:line="271" w:lineRule="auto"/>
        <w:ind w:right="845" w:hanging="146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deponiranje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osn</w:t>
      </w:r>
      <w:r w:rsidR="008923E3">
        <w:rPr>
          <w:rFonts w:asciiTheme="majorHAnsi" w:hAnsiTheme="majorHAnsi"/>
          <w:sz w:val="28"/>
          <w:szCs w:val="28"/>
        </w:rPr>
        <w:t>ovnog materiala (tehniĉko – građ</w:t>
      </w:r>
      <w:r w:rsidRPr="008923E3">
        <w:rPr>
          <w:rFonts w:asciiTheme="majorHAnsi" w:hAnsiTheme="majorHAnsi"/>
          <w:sz w:val="28"/>
          <w:szCs w:val="28"/>
        </w:rPr>
        <w:t xml:space="preserve">evnog kamena) po frakcijama potrebnih za izradu betonskih, asfaltnih i drugih smjesa materijala. </w:t>
      </w:r>
    </w:p>
    <w:p w:rsidR="003639DD" w:rsidRPr="008923E3" w:rsidRDefault="008923E3" w:rsidP="008923E3">
      <w:pPr>
        <w:spacing w:after="9"/>
        <w:ind w:left="-5" w:right="845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Građ</w:t>
      </w:r>
      <w:r w:rsidR="003639DD" w:rsidRPr="008923E3">
        <w:rPr>
          <w:rFonts w:asciiTheme="majorHAnsi" w:hAnsiTheme="majorHAnsi"/>
          <w:sz w:val="28"/>
          <w:szCs w:val="28"/>
        </w:rPr>
        <w:t xml:space="preserve">evna koncepcija drobiliĉnog postrojenja bazira se </w:t>
      </w:r>
      <w:proofErr w:type="gramStart"/>
      <w:r w:rsidR="003639DD"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="003639DD" w:rsidRPr="008923E3">
        <w:rPr>
          <w:rFonts w:asciiTheme="majorHAnsi" w:hAnsiTheme="majorHAnsi"/>
          <w:sz w:val="28"/>
          <w:szCs w:val="28"/>
        </w:rPr>
        <w:t xml:space="preserve"> slijedećim sadrţajima: </w:t>
      </w:r>
    </w:p>
    <w:p w:rsidR="003639DD" w:rsidRPr="008923E3" w:rsidRDefault="003639DD" w:rsidP="005B71DF">
      <w:pPr>
        <w:numPr>
          <w:ilvl w:val="0"/>
          <w:numId w:val="4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samohodno mobilno postrojenje </w:t>
      </w:r>
    </w:p>
    <w:p w:rsidR="003639DD" w:rsidRPr="008923E3" w:rsidRDefault="003639DD" w:rsidP="005B71DF">
      <w:pPr>
        <w:numPr>
          <w:ilvl w:val="0"/>
          <w:numId w:val="4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usipni bunker sa dodavaĉem za predsijavanje duţine L=4700 mm i širine B=2700 mm; </w:t>
      </w:r>
    </w:p>
    <w:p w:rsidR="003639DD" w:rsidRPr="008923E3" w:rsidRDefault="003639DD" w:rsidP="005B71DF">
      <w:pPr>
        <w:numPr>
          <w:ilvl w:val="0"/>
          <w:numId w:val="4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ĉeljusna drobilana; </w:t>
      </w:r>
    </w:p>
    <w:p w:rsidR="003639DD" w:rsidRPr="008923E3" w:rsidRDefault="003639DD" w:rsidP="005B71DF">
      <w:pPr>
        <w:numPr>
          <w:ilvl w:val="0"/>
          <w:numId w:val="4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pogonski dizel motor snage 100 kW, koji je direktno vezan sa hidrauliĉnom pumpom preko koje se ostvaruje pogon svih radnih elemenata izuzev ĉeljusne drobilice koja se pokreće sistemom klinastog remenja; • predajni transporter duţine L=12.000 mm i širine B=800 mm i </w:t>
      </w:r>
    </w:p>
    <w:p w:rsidR="003639DD" w:rsidRPr="008923E3" w:rsidRDefault="003639DD" w:rsidP="005B71DF">
      <w:pPr>
        <w:numPr>
          <w:ilvl w:val="0"/>
          <w:numId w:val="4"/>
        </w:numPr>
        <w:spacing w:after="14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sistem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za upravljanje drobiliĉnim postrojenjem. </w:t>
      </w:r>
    </w:p>
    <w:p w:rsidR="003639DD" w:rsidRPr="008923E3" w:rsidRDefault="003639DD" w:rsidP="008923E3">
      <w:pPr>
        <w:spacing w:after="43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Prosijavanje rovnog i drobljenog kamena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vršiti na samohodnom mobilnom postrojenju </w:t>
      </w:r>
    </w:p>
    <w:p w:rsidR="003639DD" w:rsidRPr="008923E3" w:rsidRDefault="003639DD" w:rsidP="008923E3">
      <w:pPr>
        <w:spacing w:after="7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Terex Finlay 694, koje se sastoji </w:t>
      </w:r>
      <w:proofErr w:type="gramStart"/>
      <w:r w:rsidRPr="008923E3">
        <w:rPr>
          <w:rFonts w:asciiTheme="majorHAnsi" w:hAnsiTheme="majorHAnsi"/>
          <w:sz w:val="28"/>
          <w:szCs w:val="28"/>
        </w:rPr>
        <w:t>od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sljedećih konstrukcionih elemenata: </w:t>
      </w:r>
    </w:p>
    <w:p w:rsidR="003639DD" w:rsidRPr="008923E3" w:rsidRDefault="003639DD" w:rsidP="008923E3">
      <w:pPr>
        <w:spacing w:after="75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lastRenderedPageBreak/>
        <w:t xml:space="preserve"> </w:t>
      </w:r>
    </w:p>
    <w:p w:rsidR="003639DD" w:rsidRPr="008923E3" w:rsidRDefault="003639DD" w:rsidP="008923E3">
      <w:pPr>
        <w:ind w:left="-15" w:right="845" w:firstLine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eastAsia="Segoe UI Symbol" w:hAnsiTheme="majorHAnsi" w:cs="Segoe UI Symbol"/>
          <w:sz w:val="28"/>
          <w:szCs w:val="28"/>
        </w:rPr>
        <w:t></w:t>
      </w:r>
      <w:r w:rsidRPr="008923E3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923E3">
        <w:rPr>
          <w:rFonts w:asciiTheme="majorHAnsi" w:hAnsiTheme="majorHAnsi"/>
          <w:sz w:val="28"/>
          <w:szCs w:val="28"/>
        </w:rPr>
        <w:t>pogonski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dizel motor snage 72 kW pomoću kojeg se ostvaruje pogon svih radnih elemenata ovog postrojenja, </w:t>
      </w:r>
    </w:p>
    <w:p w:rsidR="003639DD" w:rsidRPr="008923E3" w:rsidRDefault="003639DD" w:rsidP="005B71DF">
      <w:pPr>
        <w:numPr>
          <w:ilvl w:val="0"/>
          <w:numId w:val="5"/>
        </w:numPr>
        <w:spacing w:after="42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prijemni bunker sa traĉnim postrojenjem, duţine L=3500 mm, širine B=2400 mm i            visine H=1420 mm, </w:t>
      </w:r>
    </w:p>
    <w:p w:rsidR="003639DD" w:rsidRPr="008923E3" w:rsidRDefault="003639DD" w:rsidP="005B71DF">
      <w:pPr>
        <w:numPr>
          <w:ilvl w:val="0"/>
          <w:numId w:val="5"/>
        </w:numPr>
        <w:spacing w:after="42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dozirni traĉni transporter iz prijemnog bunkera na vibraciono sito duţine 7500 mm             i širine 1200 mm, </w:t>
      </w:r>
    </w:p>
    <w:p w:rsidR="003639DD" w:rsidRPr="008923E3" w:rsidRDefault="003639DD" w:rsidP="005B71DF">
      <w:pPr>
        <w:numPr>
          <w:ilvl w:val="0"/>
          <w:numId w:val="5"/>
        </w:numPr>
        <w:spacing w:after="42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ĉetvoroetaţno vibraciono sito, duţine 4880 mm i širine 1550 mm, </w:t>
      </w:r>
    </w:p>
    <w:p w:rsidR="003639DD" w:rsidRPr="008923E3" w:rsidRDefault="003639DD" w:rsidP="005B71DF">
      <w:pPr>
        <w:numPr>
          <w:ilvl w:val="0"/>
          <w:numId w:val="5"/>
        </w:numPr>
        <w:spacing w:after="42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traĉni transporter sa gumenom trakom za frakcije 0-4 mm; </w:t>
      </w:r>
    </w:p>
    <w:p w:rsidR="003639DD" w:rsidRPr="008923E3" w:rsidRDefault="003639DD" w:rsidP="005B71DF">
      <w:pPr>
        <w:numPr>
          <w:ilvl w:val="0"/>
          <w:numId w:val="5"/>
        </w:numPr>
        <w:spacing w:after="42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traĉni transporter sa gumenom trakom za frakcije 4-8 mm; </w:t>
      </w:r>
    </w:p>
    <w:p w:rsidR="003639DD" w:rsidRPr="008923E3" w:rsidRDefault="003639DD" w:rsidP="005B71DF">
      <w:pPr>
        <w:numPr>
          <w:ilvl w:val="0"/>
          <w:numId w:val="5"/>
        </w:numPr>
        <w:spacing w:after="42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traĉni transporter sa gumenom trakom za frakcije 8-16 mm; </w:t>
      </w:r>
    </w:p>
    <w:p w:rsidR="003639DD" w:rsidRPr="008923E3" w:rsidRDefault="003639DD" w:rsidP="005B71DF">
      <w:pPr>
        <w:numPr>
          <w:ilvl w:val="0"/>
          <w:numId w:val="5"/>
        </w:numPr>
        <w:spacing w:after="15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traĉni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transporter sa gumenom trakom za frakcije 16-32 mm. </w:t>
      </w:r>
    </w:p>
    <w:p w:rsidR="003639DD" w:rsidRPr="008923E3" w:rsidRDefault="003639DD" w:rsidP="005B71DF">
      <w:pPr>
        <w:numPr>
          <w:ilvl w:val="0"/>
          <w:numId w:val="5"/>
        </w:numPr>
        <w:spacing w:after="18" w:line="271" w:lineRule="auto"/>
        <w:ind w:right="845" w:firstLine="36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komandni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pult za upravljanje postrojenjem za klasiranje i prosijavanje agregata. </w:t>
      </w:r>
    </w:p>
    <w:p w:rsidR="003639DD" w:rsidRPr="008923E3" w:rsidRDefault="003639DD" w:rsidP="008923E3">
      <w:pPr>
        <w:spacing w:after="61" w:line="259" w:lineRule="auto"/>
        <w:ind w:left="72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Kamenolomsko postrojenje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locirati na sjevernom dijelu osnovne etaţe i to na prostoru koji omogućava racionalno snabdijevanje rovnim kamenom i preradu kamena.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Napajanje postrojenja elektriĉnom energijom predviĊeno je iz dizel agregata, koji </w:t>
      </w:r>
      <w:proofErr w:type="gramStart"/>
      <w:r w:rsidRPr="008923E3">
        <w:rPr>
          <w:rFonts w:asciiTheme="majorHAnsi" w:hAnsiTheme="majorHAnsi"/>
          <w:sz w:val="28"/>
          <w:szCs w:val="28"/>
        </w:rPr>
        <w:t>će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se locirati uz postrojenje za preradu kamena.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Projektirani godišnji kapacitet proizvodnje u eksploatacijskom polju kamenoloma "Bosiljna" iznosi 200 000 m3 tehniĉko-graĊevnog kamena stijenske mase (sraslo), odnosno 280 000 m3 komercijalnih frakcija. Proizvodnja je planirana u jednoj smjeni (osim sijeĉnja i prosinca), tokom ljeta po potrebi produţenoj, a iskazuje se u rastresitom stanju (koeficijent rastresitosti 1</w:t>
      </w:r>
      <w:proofErr w:type="gramStart"/>
      <w:r w:rsidRPr="008923E3">
        <w:rPr>
          <w:rFonts w:asciiTheme="majorHAnsi" w:hAnsiTheme="majorHAnsi"/>
          <w:sz w:val="28"/>
          <w:szCs w:val="28"/>
        </w:rPr>
        <w:t>,40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Na prostoru kamenolo</w:t>
      </w:r>
      <w:r w:rsidR="008923E3">
        <w:rPr>
          <w:rFonts w:asciiTheme="majorHAnsi" w:hAnsiTheme="majorHAnsi"/>
          <w:sz w:val="28"/>
          <w:szCs w:val="28"/>
        </w:rPr>
        <w:t>ma „Bosiljna</w:t>
      </w:r>
      <w:proofErr w:type="gramStart"/>
      <w:r w:rsidR="008923E3">
        <w:rPr>
          <w:rFonts w:asciiTheme="majorHAnsi" w:hAnsiTheme="majorHAnsi"/>
          <w:sz w:val="28"/>
          <w:szCs w:val="28"/>
        </w:rPr>
        <w:t>“ za</w:t>
      </w:r>
      <w:proofErr w:type="gramEnd"/>
      <w:r w:rsidR="008923E3">
        <w:rPr>
          <w:rFonts w:asciiTheme="majorHAnsi" w:hAnsiTheme="majorHAnsi"/>
          <w:sz w:val="28"/>
          <w:szCs w:val="28"/>
        </w:rPr>
        <w:t xml:space="preserve"> sada su predviđ</w:t>
      </w:r>
      <w:r w:rsidRPr="008923E3">
        <w:rPr>
          <w:rFonts w:asciiTheme="majorHAnsi" w:hAnsiTheme="majorHAnsi"/>
          <w:sz w:val="28"/>
          <w:szCs w:val="28"/>
        </w:rPr>
        <w:t xml:space="preserve">eni su sljedeći objekti i sadrţaji za logistiĉku podršku: </w:t>
      </w:r>
    </w:p>
    <w:p w:rsidR="003639DD" w:rsidRPr="008923E3" w:rsidRDefault="003639DD" w:rsidP="005B71DF">
      <w:pPr>
        <w:numPr>
          <w:ilvl w:val="0"/>
          <w:numId w:val="6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kancelarija rukovodioca i administrativnog radnika u tipskom kontejneru, </w:t>
      </w:r>
    </w:p>
    <w:p w:rsidR="003639DD" w:rsidRPr="008923E3" w:rsidRDefault="003639DD" w:rsidP="005B71DF">
      <w:pPr>
        <w:numPr>
          <w:ilvl w:val="0"/>
          <w:numId w:val="6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prostorija za presvlaĉenje radnog osoblja sa ĉajnom kuhinjom u kontejneru, </w:t>
      </w:r>
    </w:p>
    <w:p w:rsidR="003639DD" w:rsidRPr="008923E3" w:rsidRDefault="003639DD" w:rsidP="005B71DF">
      <w:pPr>
        <w:numPr>
          <w:ilvl w:val="0"/>
          <w:numId w:val="6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magacin priruĉnog alata i potrošnog materijala u kontejneru, </w:t>
      </w:r>
    </w:p>
    <w:p w:rsidR="003639DD" w:rsidRPr="008923E3" w:rsidRDefault="003639DD" w:rsidP="005B71DF">
      <w:pPr>
        <w:numPr>
          <w:ilvl w:val="0"/>
          <w:numId w:val="6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ĉuvarnica, </w:t>
      </w:r>
    </w:p>
    <w:p w:rsidR="003639DD" w:rsidRPr="008923E3" w:rsidRDefault="003639DD" w:rsidP="005B71DF">
      <w:pPr>
        <w:numPr>
          <w:ilvl w:val="0"/>
          <w:numId w:val="6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nuţnik sa odvodnjom otpadnih voda, </w:t>
      </w:r>
    </w:p>
    <w:p w:rsidR="003639DD" w:rsidRPr="008923E3" w:rsidRDefault="003639DD" w:rsidP="005B71DF">
      <w:pPr>
        <w:numPr>
          <w:ilvl w:val="0"/>
          <w:numId w:val="6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plato za drţanje i odrţavanje rudarsko-graĊevinske mehanizacije i vozila, </w:t>
      </w:r>
    </w:p>
    <w:p w:rsidR="003639DD" w:rsidRPr="008923E3" w:rsidRDefault="003639DD" w:rsidP="005B71DF">
      <w:pPr>
        <w:numPr>
          <w:ilvl w:val="0"/>
          <w:numId w:val="6"/>
        </w:numPr>
        <w:spacing w:after="10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lastRenderedPageBreak/>
        <w:t>rampama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za ulaz i izlaz sa prostora površinskog kopa. </w:t>
      </w:r>
    </w:p>
    <w:p w:rsidR="003639DD" w:rsidRPr="008923E3" w:rsidRDefault="003639DD" w:rsidP="008923E3">
      <w:pPr>
        <w:spacing w:after="21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b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297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pStyle w:val="Heading3"/>
        <w:spacing w:after="0" w:line="324" w:lineRule="auto"/>
        <w:ind w:left="-5" w:right="3536"/>
        <w:jc w:val="both"/>
        <w:rPr>
          <w:rFonts w:asciiTheme="majorHAnsi" w:hAnsiTheme="majorHAnsi"/>
          <w:b/>
          <w:sz w:val="28"/>
          <w:szCs w:val="28"/>
        </w:rPr>
      </w:pPr>
      <w:bookmarkStart w:id="4" w:name="_Toc86402"/>
      <w:r w:rsidRPr="008923E3">
        <w:rPr>
          <w:rFonts w:asciiTheme="majorHAnsi" w:hAnsiTheme="majorHAnsi"/>
          <w:sz w:val="28"/>
          <w:szCs w:val="28"/>
        </w:rPr>
        <w:t>10.3</w:t>
      </w:r>
      <w:r w:rsidR="008923E3" w:rsidRPr="008923E3">
        <w:rPr>
          <w:rFonts w:asciiTheme="majorHAnsi" w:hAnsiTheme="majorHAnsi"/>
          <w:b/>
          <w:sz w:val="28"/>
          <w:szCs w:val="28"/>
        </w:rPr>
        <w:t xml:space="preserve">.  </w:t>
      </w:r>
      <w:r w:rsidRPr="008923E3">
        <w:rPr>
          <w:rFonts w:asciiTheme="majorHAnsi" w:hAnsiTheme="majorHAnsi"/>
          <w:b/>
          <w:sz w:val="28"/>
          <w:szCs w:val="28"/>
        </w:rPr>
        <w:t xml:space="preserve"> Identifikacija, analiza i vrednovanje utjecaja na okoliš</w:t>
      </w:r>
      <w:bookmarkEnd w:id="4"/>
      <w:r w:rsidR="008923E3" w:rsidRPr="008923E3">
        <w:rPr>
          <w:rFonts w:asciiTheme="majorHAnsi" w:hAnsiTheme="majorHAnsi"/>
          <w:b/>
          <w:sz w:val="28"/>
          <w:szCs w:val="28"/>
        </w:rPr>
        <w:t xml:space="preserve">,  te </w:t>
      </w:r>
      <w:r w:rsidRPr="008923E3">
        <w:rPr>
          <w:rFonts w:asciiTheme="majorHAnsi" w:hAnsiTheme="majorHAnsi"/>
          <w:b/>
          <w:sz w:val="28"/>
          <w:szCs w:val="28"/>
        </w:rPr>
        <w:t>mjere spre</w:t>
      </w:r>
      <w:r w:rsidR="008923E3">
        <w:rPr>
          <w:rFonts w:asciiTheme="majorHAnsi" w:hAnsiTheme="majorHAnsi"/>
          <w:b/>
          <w:sz w:val="28"/>
          <w:szCs w:val="28"/>
        </w:rPr>
        <w:t xml:space="preserve">ĉavanja i smanjenja utjecaja </w:t>
      </w:r>
      <w:r w:rsidR="008923E3" w:rsidRPr="008923E3">
        <w:rPr>
          <w:rFonts w:asciiTheme="majorHAnsi" w:hAnsiTheme="majorHAnsi"/>
          <w:b/>
          <w:sz w:val="28"/>
          <w:szCs w:val="28"/>
        </w:rPr>
        <w:t xml:space="preserve">na </w:t>
      </w:r>
      <w:r w:rsidRPr="008923E3">
        <w:rPr>
          <w:rFonts w:asciiTheme="majorHAnsi" w:hAnsiTheme="majorHAnsi"/>
          <w:b/>
          <w:sz w:val="28"/>
          <w:szCs w:val="28"/>
        </w:rPr>
        <w:t xml:space="preserve">okoliš </w:t>
      </w:r>
    </w:p>
    <w:p w:rsidR="008923E3" w:rsidRPr="008923E3" w:rsidRDefault="008923E3" w:rsidP="008923E3">
      <w:pPr>
        <w:jc w:val="both"/>
        <w:rPr>
          <w:b/>
          <w:lang w:val="hr-HR" w:eastAsia="hr-HR"/>
        </w:rPr>
      </w:pP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Eksploatacija tehniĉkog kamena predstavlja tehnološki proces koji stvara ĉvrsti otpad i emituje u zrak mineralnu prašinu i otpadne plinove od sagorijevanja goriva, a potencijalno moţe uticati na površinske i podzemne vode zbog emisije štetnih tvari u vode (otpadne vode od pranja mehanizacije, curenje goriva i maziva iz mehanizacije i transportnih sredstava, ispuštanje sanitarno-fekalnih otpadnih voda), te uticati na okolinu bukom nastalom radom na kamenolomu.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Potencijalni negativni utjecaji kamenoloma "Bosiljna"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 vezani su za sve tehnološke faze i operacije proizvodnje i prerade kamena i shodno tome mogu se oĉekivati sljedeće emisije i potencijalni negativni utjecaji na okoliš: </w:t>
      </w:r>
    </w:p>
    <w:p w:rsidR="003639DD" w:rsidRPr="008923E3" w:rsidRDefault="003639DD" w:rsidP="005B71DF">
      <w:pPr>
        <w:numPr>
          <w:ilvl w:val="0"/>
          <w:numId w:val="7"/>
        </w:numPr>
        <w:spacing w:after="42" w:line="271" w:lineRule="auto"/>
        <w:ind w:right="845" w:hanging="348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emisija mineralne prašine i otpadnih dimnih plinova u zrak prilikom eksploatacije i        prerade kamena na kamenolomskom postrojenju; </w:t>
      </w:r>
    </w:p>
    <w:p w:rsidR="003639DD" w:rsidRPr="008923E3" w:rsidRDefault="003639DD" w:rsidP="005B71DF">
      <w:pPr>
        <w:numPr>
          <w:ilvl w:val="0"/>
          <w:numId w:val="7"/>
        </w:numPr>
        <w:spacing w:after="42" w:line="271" w:lineRule="auto"/>
        <w:ind w:right="845" w:hanging="348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ispuštanje otpadni voda od pranja rudarske mehanizacije, sanitarno-fekalnih otpadnih        voda i oneĉišćenih površinskih voda; </w:t>
      </w:r>
    </w:p>
    <w:p w:rsidR="003639DD" w:rsidRPr="008923E3" w:rsidRDefault="003639DD" w:rsidP="005B71DF">
      <w:pPr>
        <w:numPr>
          <w:ilvl w:val="0"/>
          <w:numId w:val="7"/>
        </w:numPr>
        <w:spacing w:after="42" w:line="271" w:lineRule="auto"/>
        <w:ind w:right="845" w:hanging="348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utjecaj na reţim površinskih i podzemnih voda, </w:t>
      </w:r>
    </w:p>
    <w:p w:rsidR="003639DD" w:rsidRPr="008923E3" w:rsidRDefault="003639DD" w:rsidP="005B71DF">
      <w:pPr>
        <w:numPr>
          <w:ilvl w:val="0"/>
          <w:numId w:val="7"/>
        </w:numPr>
        <w:spacing w:after="42" w:line="271" w:lineRule="auto"/>
        <w:ind w:right="845" w:hanging="348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deforestacija i uklanjanje vegetacije i humusnog sloja zemljišta, </w:t>
      </w:r>
    </w:p>
    <w:p w:rsidR="003639DD" w:rsidRPr="008923E3" w:rsidRDefault="003639DD" w:rsidP="005B71DF">
      <w:pPr>
        <w:numPr>
          <w:ilvl w:val="0"/>
          <w:numId w:val="7"/>
        </w:numPr>
        <w:spacing w:after="42" w:line="271" w:lineRule="auto"/>
        <w:ind w:right="845" w:hanging="348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produkcija otpadnih materijala i devastiranje zemljišta; </w:t>
      </w:r>
    </w:p>
    <w:p w:rsidR="003639DD" w:rsidRPr="008923E3" w:rsidRDefault="003639DD" w:rsidP="005B71DF">
      <w:pPr>
        <w:numPr>
          <w:ilvl w:val="0"/>
          <w:numId w:val="7"/>
        </w:numPr>
        <w:spacing w:after="42" w:line="271" w:lineRule="auto"/>
        <w:ind w:right="845" w:hanging="348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produkcija buke i emisija u okoliš, </w:t>
      </w:r>
    </w:p>
    <w:p w:rsidR="003639DD" w:rsidRPr="008923E3" w:rsidRDefault="003639DD" w:rsidP="005B71DF">
      <w:pPr>
        <w:numPr>
          <w:ilvl w:val="0"/>
          <w:numId w:val="7"/>
        </w:numPr>
        <w:spacing w:after="7" w:line="271" w:lineRule="auto"/>
        <w:ind w:right="845" w:hanging="348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miniranje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stijenskih masiva i utjecaj na okoliš. </w:t>
      </w:r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21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Ni jedna </w:t>
      </w:r>
      <w:proofErr w:type="gramStart"/>
      <w:r w:rsidRPr="008923E3">
        <w:rPr>
          <w:rFonts w:asciiTheme="majorHAnsi" w:hAnsiTheme="majorHAnsi"/>
          <w:sz w:val="28"/>
          <w:szCs w:val="28"/>
        </w:rPr>
        <w:t>od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navedenih emisija nema karakter kontinuiteta u smislu perioda odvijanja radova i ispuštanja zagaĊujućih tvari u zrak. Sve aktivnosti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kamenolomu su diskontinuirane i izvode se u odreĊenim vremenskim intervalima, ovisno o obimu i potrebi proizvodnje frakcije. Emisije u zrak se javljaju samo u vrijeme izvoĊenja radova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eksploataciji i preradi kamena i odreĊenih tehnoloških operacija.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Shodno odredbama Zakona o zaštiti okoliša i drugim vaţećim okolišnim propisima, predviĊen je okolišni monitoring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prostoru kamenoloma u cilju ublaţavanja i kontrole utjecaja na okoliš. Monitoringom treba obuhvatiti redovno vizuelno praćenje svih postrojenja, opreme i aktivnosti, koje mogu negativno utjecati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okoliš, a u cilju spreĉavanja i što većeg ublaţavanja utjecaja na sve komponente okoliša. Isto tako, potrebno je obezbijediti </w:t>
      </w:r>
      <w:r w:rsidRPr="008923E3">
        <w:rPr>
          <w:rFonts w:asciiTheme="majorHAnsi" w:hAnsiTheme="majorHAnsi"/>
          <w:sz w:val="28"/>
          <w:szCs w:val="28"/>
        </w:rPr>
        <w:lastRenderedPageBreak/>
        <w:t xml:space="preserve">povremeni, periodiĉni monitoring sredstava rada i odreĊenih okolišnih pokazatelja (imisija kamene prašine, kvalitete ispuštene vode iz separatora, nivo buke).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U Tabeli 6. </w:t>
      </w:r>
      <w:proofErr w:type="gramStart"/>
      <w:r w:rsidRPr="008923E3">
        <w:rPr>
          <w:rFonts w:asciiTheme="majorHAnsi" w:hAnsiTheme="majorHAnsi"/>
          <w:sz w:val="28"/>
          <w:szCs w:val="28"/>
        </w:rPr>
        <w:t>dat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je pregled utjecaja na okoliš i mjera za spreĉavanje i ublaţavanje utjecaja na okoliš eksploatacije i prerade tehniĉko – graĊevnog kamena na kamenolomu "Bosiljna" u općini Posušje. </w:t>
      </w:r>
    </w:p>
    <w:p w:rsidR="003639DD" w:rsidRPr="008923E3" w:rsidRDefault="003639DD" w:rsidP="008923E3">
      <w:pPr>
        <w:spacing w:after="292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pStyle w:val="Heading3"/>
        <w:ind w:left="-5" w:right="1008"/>
        <w:jc w:val="both"/>
        <w:rPr>
          <w:rFonts w:asciiTheme="majorHAnsi" w:hAnsiTheme="majorHAnsi"/>
          <w:b/>
          <w:sz w:val="28"/>
          <w:szCs w:val="28"/>
        </w:rPr>
      </w:pPr>
      <w:bookmarkStart w:id="5" w:name="_Toc86403"/>
      <w:r w:rsidRPr="008923E3">
        <w:rPr>
          <w:rFonts w:asciiTheme="majorHAnsi" w:hAnsiTheme="majorHAnsi"/>
          <w:b/>
          <w:sz w:val="28"/>
          <w:szCs w:val="28"/>
        </w:rPr>
        <w:t xml:space="preserve">10.4. Okolišni monitoring </w:t>
      </w:r>
      <w:bookmarkEnd w:id="5"/>
    </w:p>
    <w:p w:rsidR="003639DD" w:rsidRPr="008923E3" w:rsidRDefault="003639DD" w:rsidP="008923E3">
      <w:pPr>
        <w:spacing w:after="58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Shodno odredbama Zakona o zaštiti okoliša i drugim vaţećim okolišnim propisima, potrebno je obezbijediti provoĊenje okolišnog i tehnološkog monitoringa pri eksploataciji i preradi </w:t>
      </w:r>
      <w:proofErr w:type="gramStart"/>
      <w:r w:rsidRPr="008923E3">
        <w:rPr>
          <w:rFonts w:asciiTheme="majorHAnsi" w:hAnsiTheme="majorHAnsi"/>
          <w:sz w:val="28"/>
          <w:szCs w:val="28"/>
        </w:rPr>
        <w:t>tehniĉko  –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graĊevnog kamena na lokalitetu "Bosiljna" u cilju kontrole i ublaţavanja utjecaja na okoliš.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Monitoring imisije prašine potrebno je provoditi jedan put godišnje kroz mjerenje sedimenta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minimalno jednom mjernom mjestu u okolini eksploatacijskog polja i kamenolomskog postrojenja, posebno prema najbliţim stambenim objektima, sukladno odredbama Pravilnika o monitoringu kvaliteta zraka (“Sluţbene novine Federacije BiH”, broj: 12/05) i to u najsušnijem periodu godine (npr. juni, juli ili august), angaţiranjem ovlaštene organizacije. U sluĉaju odstupanja i prekoraĉenja graniĉnih vrijednosti potrebno je preduzeti korektivne mjere i mjere za ublaţavanje emisije mineralne prašine.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Monitoring emisije u vode obuhvata kontrolu funkcioniranja separatora, koji treba redovno odrţavati u funkcionalnom stanju. Povremeno je potrebno izvršiti ĉišćenje i uklanjanje nataloţenih materijala i izdvojenog ulja (1-2 puta godišnje). Ispitivanje kvaliteta ispuštene vode iz separatora treba vršiti najmanje ĉetiri puta godišnje angaţiranjem ovlaštene organizacije, </w:t>
      </w:r>
      <w:proofErr w:type="gramStart"/>
      <w:r w:rsidRPr="008923E3">
        <w:rPr>
          <w:rFonts w:asciiTheme="majorHAnsi" w:hAnsiTheme="majorHAnsi"/>
          <w:sz w:val="28"/>
          <w:szCs w:val="28"/>
        </w:rPr>
        <w:t>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ispitivanjem treba obuhvatiti obavezno sljedeće parametre: temperatura, vrijednost pH, alkalitet, elektriĉna provodljivost, isparni ostatak, gubitak ţarenjem, ukupne suspendovane tvari, KPK, BPK-5 i ukupna ulja i masti.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Monitoring buke treba provoditi najmanje svake godine pri radnim uvjetima eksploatacije i prerade kamena, a po potrebi i ĉešće, angaţiranjem ovlaštene organizacije, prema metodologiji o ocjeni utjecaja buke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 i odredbama Zakona o zaštiti od buke ZHŢ. Buku treba mjeriti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prostoru kamenoloma, odnosno na graniĉnom prostoru površinskog kopa sa okolinom. U sluĉaju odstupanja i prekoraĉenja graniĉnih vrijednosti potrebno je preduzeti korektivne mjere, odnosno mjere za ublaţavanje intenziteta buke.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Pregled i ispitivanje postrojenja i sredstava rada treba vršiti svake tri godine angaţiranjem ovlaštene organizacije, a ovim pregledom treba obuhvatiti i primjenu mjera za ublaţavanje emisija i negativnih utjecaja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lastRenderedPageBreak/>
        <w:t xml:space="preserve">Investitor je duţan da uspostavi i uredno vodi podatke o okolišnom i tehnološkom monitoringu emisija i utjecaja kamenoloma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okoliš, koja se mora ĉuvati najmanje pet godina i koja mora biti dostupna nadleţnoj inspekciji i drugim subjektima. </w:t>
      </w:r>
    </w:p>
    <w:p w:rsidR="003639DD" w:rsidRPr="008923E3" w:rsidRDefault="003639DD" w:rsidP="008923E3">
      <w:pPr>
        <w:spacing w:after="5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Po prestanku eksploatacije i rada ovog kamenoloma, u periodu </w:t>
      </w:r>
      <w:proofErr w:type="gramStart"/>
      <w:r w:rsidRPr="008923E3">
        <w:rPr>
          <w:rFonts w:asciiTheme="majorHAnsi" w:hAnsiTheme="majorHAnsi"/>
          <w:sz w:val="28"/>
          <w:szCs w:val="28"/>
        </w:rPr>
        <w:t>od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najmanje dvije godine treba monitoring u cilju otklanjanja eventualnih nedostataka nakon provedene rekultivacije i uklapanja u ambijent krajolika. </w:t>
      </w:r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21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pStyle w:val="Heading3"/>
        <w:ind w:left="-5" w:right="1008"/>
        <w:jc w:val="both"/>
        <w:rPr>
          <w:rFonts w:asciiTheme="majorHAnsi" w:hAnsiTheme="majorHAnsi"/>
          <w:b/>
          <w:sz w:val="28"/>
          <w:szCs w:val="28"/>
        </w:rPr>
      </w:pPr>
      <w:bookmarkStart w:id="6" w:name="_Toc86404"/>
      <w:r w:rsidRPr="008923E3">
        <w:rPr>
          <w:rFonts w:asciiTheme="majorHAnsi" w:hAnsiTheme="majorHAnsi"/>
          <w:b/>
          <w:sz w:val="28"/>
          <w:szCs w:val="28"/>
        </w:rPr>
        <w:t xml:space="preserve">10.5. ZAKLJUĈAK </w:t>
      </w:r>
      <w:bookmarkEnd w:id="6"/>
    </w:p>
    <w:p w:rsidR="003639DD" w:rsidRPr="008923E3" w:rsidRDefault="003639DD" w:rsidP="008923E3">
      <w:pPr>
        <w:spacing w:after="61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Nakon analize tehniĉke dokumentacije, prethodne procjene o utjecaju na okoliš, opservacije lokacije i njene okoline, te analize mogućih utjecaja na okoliš i mjera za spreĉavanje i ublaţavanje utjecaja na pojedine komponente okoliša, utvrĊeno je da eksploatacija i prerada tehniĉko -graĊevinskog kamena na predmetnom kamenolomu na lokalitetu „Bosiljna“ u općini Posušje ne moţe imati znaĉajnije negativne utjecaje na okoliš, uz poštivanje i provoĊenje mjera zaštite okoliša navedenih u ovoj studiji o utjecaju na okoliš i projektnoj dokumentaciji. U ovom sluĉaju mogu se oĉekivati manji </w:t>
      </w:r>
      <w:proofErr w:type="gramStart"/>
      <w:r w:rsidRPr="008923E3">
        <w:rPr>
          <w:rFonts w:asciiTheme="majorHAnsi" w:hAnsiTheme="majorHAnsi"/>
          <w:sz w:val="28"/>
          <w:szCs w:val="28"/>
        </w:rPr>
        <w:t>ili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umjereni negativni utjecaji na pojedine komponente okoliša u neposrednoj blizini eksploatacijskog polja. MeĊutim, uz preduzimanje svih mjera za spreĉavanje i ublaţavanje utjecaja </w:t>
      </w:r>
      <w:proofErr w:type="gramStart"/>
      <w:r w:rsidRPr="008923E3">
        <w:rPr>
          <w:rFonts w:asciiTheme="majorHAnsi" w:hAnsiTheme="majorHAnsi"/>
          <w:sz w:val="28"/>
          <w:szCs w:val="28"/>
        </w:rPr>
        <w:t>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okoliš navedenih u ovoj studiji, oĉekivani utjecaji mogu se smanjiti ispod nivoa prihvatljivog za okoliš, odnosno ispod nivoa koji zadovoljava vaţeće zakonske propise o zaštiti okoliša.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Pored toga, ovaj projekt ima i odreĊene pozitivne socio-ekonomske utjecaje zbog zapošljavanja novih lica i doprinosa razvoju ovog podruĉja.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Shodno navedenom, a na osnovu dostupnih pokazatelja, te odredaba Zakona o zaštiti okoliša i Pravilnika o pogonima i postrojenjima za koje je obavezna procjena utjecaja na okoliš i pogonima i postrojenjima koji mogu biti izgraĊeni i pušteni u rad samo ako imaju okolišnu dozvolu, kao i rješenja o izradi studije o utjecaju na okoliš Federalnog ministarstva okoliša i turizma ocjenjeno je da su steĉeni propisani uvjeti za  izdavanje  okolišne  dozvole  privrednom društvu  “LAGER“ d.o.o Posušje za eksploataciju i preradu tehniĉko – graĊevnog kamena na lokalitetu “Bosiljna“  u općini Posušje. </w:t>
      </w:r>
    </w:p>
    <w:p w:rsidR="003639DD" w:rsidRPr="008923E3" w:rsidRDefault="003639DD" w:rsidP="008923E3">
      <w:pPr>
        <w:spacing w:after="294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pStyle w:val="Heading1"/>
        <w:ind w:left="-5" w:right="1008"/>
        <w:jc w:val="both"/>
        <w:rPr>
          <w:rFonts w:asciiTheme="majorHAnsi" w:hAnsiTheme="majorHAnsi"/>
          <w:sz w:val="28"/>
          <w:szCs w:val="28"/>
        </w:rPr>
      </w:pPr>
      <w:bookmarkStart w:id="7" w:name="_Toc86405"/>
      <w:r w:rsidRPr="008923E3">
        <w:rPr>
          <w:rFonts w:asciiTheme="majorHAnsi" w:hAnsiTheme="majorHAnsi"/>
          <w:sz w:val="28"/>
          <w:szCs w:val="28"/>
        </w:rPr>
        <w:lastRenderedPageBreak/>
        <w:t xml:space="preserve">11. KORIŠTENA DOKUMENTACIJA I PROPISI </w:t>
      </w:r>
      <w:bookmarkEnd w:id="7"/>
    </w:p>
    <w:p w:rsidR="003639DD" w:rsidRPr="008923E3" w:rsidRDefault="003639DD" w:rsidP="008923E3">
      <w:pPr>
        <w:spacing w:after="3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5" w:line="304" w:lineRule="auto"/>
        <w:ind w:left="-5" w:right="834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1.Elaborat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klasifikaciji, kategorizaciji i proraĉunu rezervi arhitektonsko – graĊevnog     kamena   na leţištu “Bosiljna“ kod Posušja, uraĊen od strane SEDIMENT d.o.o.                         Posušje travnja 2014 godine. </w:t>
      </w:r>
    </w:p>
    <w:p w:rsidR="003639DD" w:rsidRPr="008923E3" w:rsidRDefault="003639DD" w:rsidP="005B71DF">
      <w:pPr>
        <w:numPr>
          <w:ilvl w:val="0"/>
          <w:numId w:val="8"/>
        </w:numPr>
        <w:spacing w:after="42" w:line="271" w:lineRule="auto"/>
        <w:ind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Predhodna procjena utjecaja na okoliš kamenoloma tehniĉko – graĊevnog kamena    na lokalitetu „Bosiljna</w:t>
      </w:r>
      <w:proofErr w:type="gramStart"/>
      <w:r w:rsidRPr="008923E3">
        <w:rPr>
          <w:rFonts w:asciiTheme="majorHAnsi" w:hAnsiTheme="majorHAnsi"/>
          <w:sz w:val="28"/>
          <w:szCs w:val="28"/>
        </w:rPr>
        <w:t>“ u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općini Posušje, uraĊena od strane investitora. </w:t>
      </w:r>
    </w:p>
    <w:p w:rsidR="003639DD" w:rsidRPr="008923E3" w:rsidRDefault="003639DD" w:rsidP="005B71DF">
      <w:pPr>
        <w:numPr>
          <w:ilvl w:val="0"/>
          <w:numId w:val="8"/>
        </w:numPr>
        <w:spacing w:after="5" w:line="304" w:lineRule="auto"/>
        <w:ind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Rješenje kojim se potvrĊuju geološke rezerve i kvalitet mineralne sirovine tehniĉko –      graĊevnog kamena u leţištu “Bosiljna</w:t>
      </w:r>
      <w:proofErr w:type="gramStart"/>
      <w:r w:rsidRPr="008923E3">
        <w:rPr>
          <w:rFonts w:asciiTheme="majorHAnsi" w:hAnsiTheme="majorHAnsi"/>
          <w:sz w:val="28"/>
          <w:szCs w:val="28"/>
        </w:rPr>
        <w:t>“ kod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Posušja, broj: 05-03-18-377/14 od       18.06.2014. godine, izdano od strane Ministarstva Gospodarstva ZHŢ, sektor      energetike, industrije i rudarstva </w:t>
      </w:r>
    </w:p>
    <w:p w:rsidR="003639DD" w:rsidRPr="008923E3" w:rsidRDefault="003639DD" w:rsidP="005B71DF">
      <w:pPr>
        <w:numPr>
          <w:ilvl w:val="0"/>
          <w:numId w:val="8"/>
        </w:numPr>
        <w:spacing w:after="42" w:line="271" w:lineRule="auto"/>
        <w:ind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Ugovor kojim se gospodarskom društvu “LAGER“d.o.o. </w:t>
      </w:r>
      <w:proofErr w:type="gramStart"/>
      <w:r w:rsidRPr="008923E3">
        <w:rPr>
          <w:rFonts w:asciiTheme="majorHAnsi" w:hAnsiTheme="majorHAnsi"/>
          <w:sz w:val="28"/>
          <w:szCs w:val="28"/>
        </w:rPr>
        <w:t>Posušje  odobrava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eksploatacija        tehniĉko – graĊevnog kamena na eksploatacijskom polju “Bosiljna“ na podruĉju općine      Posušje. </w:t>
      </w:r>
    </w:p>
    <w:p w:rsidR="003639DD" w:rsidRPr="008923E3" w:rsidRDefault="003639DD" w:rsidP="008923E3">
      <w:pPr>
        <w:spacing w:after="7"/>
        <w:ind w:left="-5" w:right="845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5.Zakon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vodama,“Sluţbene novine FBiH“, br. 70/06 </w:t>
      </w:r>
    </w:p>
    <w:p w:rsidR="003639DD" w:rsidRPr="008923E3" w:rsidRDefault="003639DD" w:rsidP="008923E3">
      <w:pPr>
        <w:spacing w:after="7"/>
        <w:ind w:left="-5" w:right="845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6.Zakon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zaštiti voda, “Sluţbene novine FBiH“, br. 33/03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7.Zakona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zaštiti okoliša, “Sluţbene novine F BiH“, br. 68/05 </w:t>
      </w:r>
    </w:p>
    <w:p w:rsidR="003639DD" w:rsidRPr="008923E3" w:rsidRDefault="003639DD" w:rsidP="008923E3">
      <w:pPr>
        <w:spacing w:after="7"/>
        <w:ind w:left="-5" w:right="845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8.Zakon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zaštiti zraka,  "Sluţbene novine F BiH", br. 33/03 </w:t>
      </w:r>
    </w:p>
    <w:p w:rsidR="003639DD" w:rsidRPr="008923E3" w:rsidRDefault="003639DD" w:rsidP="008923E3">
      <w:pPr>
        <w:spacing w:after="6"/>
        <w:ind w:left="-5" w:right="845"/>
        <w:jc w:val="both"/>
        <w:rPr>
          <w:rFonts w:asciiTheme="majorHAnsi" w:hAnsiTheme="majorHAnsi"/>
          <w:sz w:val="28"/>
          <w:szCs w:val="28"/>
        </w:rPr>
      </w:pPr>
      <w:proofErr w:type="gramStart"/>
      <w:r w:rsidRPr="008923E3">
        <w:rPr>
          <w:rFonts w:asciiTheme="majorHAnsi" w:hAnsiTheme="majorHAnsi"/>
          <w:sz w:val="28"/>
          <w:szCs w:val="28"/>
        </w:rPr>
        <w:t>9.Zakon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zaštiti prirode, “Sluţbene novine FBiH“, br. 33/03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10</w:t>
      </w:r>
      <w:proofErr w:type="gramStart"/>
      <w:r w:rsidRPr="008923E3">
        <w:rPr>
          <w:rFonts w:asciiTheme="majorHAnsi" w:hAnsiTheme="majorHAnsi"/>
          <w:sz w:val="28"/>
          <w:szCs w:val="28"/>
        </w:rPr>
        <w:t>.Pravilnik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kategorijama otpada sa listama, “Sluţbene novine FBiH“, br.  </w:t>
      </w:r>
    </w:p>
    <w:p w:rsidR="003639DD" w:rsidRPr="008923E3" w:rsidRDefault="003639DD" w:rsidP="008923E3">
      <w:pPr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    9/05  </w:t>
      </w:r>
    </w:p>
    <w:p w:rsidR="003639DD" w:rsidRPr="008923E3" w:rsidRDefault="003639DD" w:rsidP="008923E3">
      <w:pPr>
        <w:spacing w:after="5" w:line="304" w:lineRule="auto"/>
        <w:ind w:left="-5" w:right="1981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11</w:t>
      </w:r>
      <w:proofErr w:type="gramStart"/>
      <w:r w:rsidRPr="008923E3">
        <w:rPr>
          <w:rFonts w:asciiTheme="majorHAnsi" w:hAnsiTheme="majorHAnsi"/>
          <w:sz w:val="28"/>
          <w:szCs w:val="28"/>
        </w:rPr>
        <w:t>.Pravilnik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naĉinu vršenja monitoringa kvaliteta zraka i definiranju vrsta        zagaĊujućih materija, graniĉnih vrijednosti i drugih standarda kvaliteta       zraka, „Sluţbene novine F BiH“, br. 01/12 </w:t>
      </w:r>
    </w:p>
    <w:p w:rsidR="003639DD" w:rsidRPr="008923E3" w:rsidRDefault="003639DD" w:rsidP="008923E3">
      <w:pPr>
        <w:spacing w:after="4"/>
        <w:ind w:left="-5" w:right="1669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12</w:t>
      </w:r>
      <w:proofErr w:type="gramStart"/>
      <w:r w:rsidRPr="008923E3">
        <w:rPr>
          <w:rFonts w:asciiTheme="majorHAnsi" w:hAnsiTheme="majorHAnsi"/>
          <w:sz w:val="28"/>
          <w:szCs w:val="28"/>
        </w:rPr>
        <w:t>.Pravilnik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postupanju s otpadom koji se ne nalazi na listi opasnog otpada ili       ĉiji je sadrţaj nepoznat, “Sluţbene novine FBiH“, br. 9/05 </w:t>
      </w:r>
    </w:p>
    <w:p w:rsidR="003639DD" w:rsidRPr="008923E3" w:rsidRDefault="003639DD" w:rsidP="008923E3">
      <w:pPr>
        <w:spacing w:after="4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13</w:t>
      </w:r>
      <w:proofErr w:type="gramStart"/>
      <w:r w:rsidRPr="008923E3">
        <w:rPr>
          <w:rFonts w:asciiTheme="majorHAnsi" w:hAnsiTheme="majorHAnsi"/>
          <w:sz w:val="28"/>
          <w:szCs w:val="28"/>
        </w:rPr>
        <w:t>.Pravilnik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graniĉnim vrijednostima kvaliteta zraka </w:t>
      </w:r>
    </w:p>
    <w:p w:rsidR="003639DD" w:rsidRPr="008923E3" w:rsidRDefault="003639DD" w:rsidP="008923E3">
      <w:pPr>
        <w:spacing w:after="7"/>
        <w:ind w:left="-5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    “Sluţbene novine FBiH“, br. 12/05 </w:t>
      </w:r>
    </w:p>
    <w:p w:rsidR="003639DD" w:rsidRPr="008923E3" w:rsidRDefault="003639DD" w:rsidP="008923E3">
      <w:pPr>
        <w:spacing w:after="5" w:line="304" w:lineRule="auto"/>
        <w:ind w:left="-5" w:right="1907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14</w:t>
      </w:r>
      <w:proofErr w:type="gramStart"/>
      <w:r w:rsidRPr="008923E3">
        <w:rPr>
          <w:rFonts w:asciiTheme="majorHAnsi" w:hAnsiTheme="majorHAnsi"/>
          <w:sz w:val="28"/>
          <w:szCs w:val="28"/>
        </w:rPr>
        <w:t>.Pravilnikom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graniĉnim vrijednostima opasnih i štetnih tvari za tehnološke       otpadne vode prije njihovog ispuštanja u sustav javne kanalizacije odnosno       u drugi prijemnik, "Sluţbene novine F BiH", br. 50/07 </w:t>
      </w:r>
    </w:p>
    <w:p w:rsidR="003639DD" w:rsidRPr="008923E3" w:rsidRDefault="003639DD" w:rsidP="008923E3">
      <w:pPr>
        <w:spacing w:after="5"/>
        <w:ind w:left="-5" w:right="1729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15</w:t>
      </w:r>
      <w:proofErr w:type="gramStart"/>
      <w:r w:rsidRPr="008923E3">
        <w:rPr>
          <w:rFonts w:asciiTheme="majorHAnsi" w:hAnsiTheme="majorHAnsi"/>
          <w:sz w:val="28"/>
          <w:szCs w:val="28"/>
        </w:rPr>
        <w:t>.Pravilnik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donošenju najboljih raspoloţivih tehnika kojima se postiţu       standardi kvalitete okoliša, "Sluţbene novine F BiH", br. 92/07 </w:t>
      </w:r>
    </w:p>
    <w:p w:rsidR="003639DD" w:rsidRPr="008923E3" w:rsidRDefault="003639DD" w:rsidP="008923E3">
      <w:pPr>
        <w:spacing w:after="283" w:line="241" w:lineRule="auto"/>
        <w:ind w:left="-5" w:right="265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lastRenderedPageBreak/>
        <w:t>16</w:t>
      </w:r>
      <w:proofErr w:type="gramStart"/>
      <w:r w:rsidRPr="008923E3">
        <w:rPr>
          <w:rFonts w:asciiTheme="majorHAnsi" w:hAnsiTheme="majorHAnsi"/>
          <w:sz w:val="28"/>
          <w:szCs w:val="28"/>
        </w:rPr>
        <w:t>.Uredba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 opasnim i štetnim materijama u vodama, "Sluţbene novine F       BiH", br. 43/07  </w:t>
      </w:r>
      <w:r w:rsidRPr="008923E3">
        <w:rPr>
          <w:rFonts w:asciiTheme="majorHAnsi" w:hAnsiTheme="majorHAnsi"/>
          <w:sz w:val="28"/>
          <w:szCs w:val="28"/>
        </w:rPr>
        <w:tab/>
        <w:t xml:space="preserve"> </w:t>
      </w:r>
    </w:p>
    <w:p w:rsidR="003639DD" w:rsidRPr="008923E3" w:rsidRDefault="003639DD" w:rsidP="008923E3">
      <w:pPr>
        <w:pStyle w:val="Heading1"/>
        <w:ind w:left="-5" w:right="1008"/>
        <w:jc w:val="both"/>
        <w:rPr>
          <w:rFonts w:asciiTheme="majorHAnsi" w:hAnsiTheme="majorHAnsi"/>
          <w:sz w:val="28"/>
          <w:szCs w:val="28"/>
        </w:rPr>
      </w:pPr>
      <w:bookmarkStart w:id="8" w:name="_Toc86406"/>
      <w:r w:rsidRPr="008923E3">
        <w:rPr>
          <w:rFonts w:asciiTheme="majorHAnsi" w:hAnsiTheme="majorHAnsi"/>
          <w:sz w:val="28"/>
          <w:szCs w:val="28"/>
        </w:rPr>
        <w:t xml:space="preserve">12. PRILOZI </w:t>
      </w:r>
      <w:bookmarkEnd w:id="8"/>
    </w:p>
    <w:p w:rsidR="003639DD" w:rsidRPr="008923E3" w:rsidRDefault="003639DD" w:rsidP="008923E3">
      <w:pPr>
        <w:spacing w:after="52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5B71DF">
      <w:pPr>
        <w:numPr>
          <w:ilvl w:val="0"/>
          <w:numId w:val="9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Rješenje Ministarstva gospodarstva ŢZH broj: 05-03-18-377/14 kojim se potvrĊuju geološke rezerve i kvaliteta mineralne sirovine tehniĉko – graĊevnog kamena u leţištu “Bosiljna</w:t>
      </w:r>
      <w:proofErr w:type="gramStart"/>
      <w:r w:rsidRPr="008923E3">
        <w:rPr>
          <w:rFonts w:asciiTheme="majorHAnsi" w:hAnsiTheme="majorHAnsi"/>
          <w:sz w:val="28"/>
          <w:szCs w:val="28"/>
        </w:rPr>
        <w:t>“ kod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Posušja. </w:t>
      </w:r>
    </w:p>
    <w:p w:rsidR="003639DD" w:rsidRPr="008923E3" w:rsidRDefault="003639DD" w:rsidP="005B71DF">
      <w:pPr>
        <w:numPr>
          <w:ilvl w:val="0"/>
          <w:numId w:val="9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Izvještaj, "CEMTRA" d.o.o. Zagreb od 12.09.2013., o ispitivanju kamena vapnenca sa lokacije Bosiljna, Posušje </w:t>
      </w:r>
    </w:p>
    <w:p w:rsidR="003639DD" w:rsidRPr="008923E3" w:rsidRDefault="003639DD" w:rsidP="005B71DF">
      <w:pPr>
        <w:numPr>
          <w:ilvl w:val="0"/>
          <w:numId w:val="9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Izvod iz prostornog plana Ţupanije Zapadnohercegovaĉke broj</w:t>
      </w:r>
      <w:proofErr w:type="gramStart"/>
      <w:r w:rsidRPr="008923E3">
        <w:rPr>
          <w:rFonts w:asciiTheme="majorHAnsi" w:hAnsiTheme="majorHAnsi"/>
          <w:sz w:val="28"/>
          <w:szCs w:val="28"/>
        </w:rPr>
        <w:t>:06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-02-23-156/14  4. Ugovor o koncesiji za eksploataciju tehniĉko – graĊevnog kamena na lokalitetu </w:t>
      </w:r>
    </w:p>
    <w:p w:rsidR="003639DD" w:rsidRPr="008923E3" w:rsidRDefault="003639DD" w:rsidP="008923E3">
      <w:pPr>
        <w:spacing w:after="7"/>
        <w:ind w:left="730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„Bosiljna</w:t>
      </w:r>
      <w:proofErr w:type="gramStart"/>
      <w:r w:rsidRPr="008923E3">
        <w:rPr>
          <w:rFonts w:asciiTheme="majorHAnsi" w:hAnsiTheme="majorHAnsi"/>
          <w:sz w:val="28"/>
          <w:szCs w:val="28"/>
        </w:rPr>
        <w:t>“ u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općini Posušje broj:01-172-22/13. </w:t>
      </w:r>
    </w:p>
    <w:p w:rsidR="003639DD" w:rsidRPr="008923E3" w:rsidRDefault="003639DD" w:rsidP="005B71DF">
      <w:pPr>
        <w:numPr>
          <w:ilvl w:val="0"/>
          <w:numId w:val="10"/>
        </w:numPr>
        <w:spacing w:after="7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Izvod iz posjedovnog lista  </w:t>
      </w:r>
    </w:p>
    <w:p w:rsidR="003639DD" w:rsidRPr="008923E3" w:rsidRDefault="003639DD" w:rsidP="005B71DF">
      <w:pPr>
        <w:numPr>
          <w:ilvl w:val="0"/>
          <w:numId w:val="10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Prethodna vodna saglasnost broj: UP/40-1/25-2-148/14, koju je izdala Agencija za vodno podruĉje Jadranskog mora Mostar. </w:t>
      </w:r>
    </w:p>
    <w:p w:rsidR="003639DD" w:rsidRPr="008923E3" w:rsidRDefault="003639DD" w:rsidP="005B71DF">
      <w:pPr>
        <w:numPr>
          <w:ilvl w:val="0"/>
          <w:numId w:val="10"/>
        </w:numPr>
        <w:spacing w:after="7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Zakljuĉak o izradi studije o utjecaju na okoliš FMOIT broj:UPI-05/02-23-11-117-1/14 </w:t>
      </w:r>
    </w:p>
    <w:p w:rsidR="003639DD" w:rsidRPr="008923E3" w:rsidRDefault="003639DD" w:rsidP="008923E3">
      <w:pPr>
        <w:ind w:left="730" w:right="845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MK </w:t>
      </w:r>
    </w:p>
    <w:p w:rsidR="003639DD" w:rsidRPr="008923E3" w:rsidRDefault="003639DD" w:rsidP="005B71DF">
      <w:pPr>
        <w:numPr>
          <w:ilvl w:val="0"/>
          <w:numId w:val="10"/>
        </w:numPr>
        <w:spacing w:after="42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Situacioni plan istraţnog podruĉja leţišta “Bosiljna“ u općini  Posušje </w:t>
      </w:r>
    </w:p>
    <w:p w:rsidR="003639DD" w:rsidRPr="008923E3" w:rsidRDefault="003639DD" w:rsidP="005B71DF">
      <w:pPr>
        <w:numPr>
          <w:ilvl w:val="0"/>
          <w:numId w:val="10"/>
        </w:numPr>
        <w:spacing w:after="13" w:line="271" w:lineRule="auto"/>
        <w:ind w:right="845" w:hanging="360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>Prikaz eksploatacijskog prostora kamenoloma “Bosiljna</w:t>
      </w:r>
      <w:proofErr w:type="gramStart"/>
      <w:r w:rsidRPr="008923E3">
        <w:rPr>
          <w:rFonts w:asciiTheme="majorHAnsi" w:hAnsiTheme="majorHAnsi"/>
          <w:sz w:val="28"/>
          <w:szCs w:val="28"/>
        </w:rPr>
        <w:t>“ u</w:t>
      </w:r>
      <w:proofErr w:type="gramEnd"/>
      <w:r w:rsidRPr="008923E3">
        <w:rPr>
          <w:rFonts w:asciiTheme="majorHAnsi" w:hAnsiTheme="majorHAnsi"/>
          <w:sz w:val="28"/>
          <w:szCs w:val="28"/>
        </w:rPr>
        <w:t xml:space="preserve"> općini Posušje    10. Grafiĉki prikaz faza eksploatacije na kamenolomu "Bosiljna" </w:t>
      </w:r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21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3639DD" w:rsidRPr="008923E3" w:rsidRDefault="003639DD" w:rsidP="008923E3">
      <w:pPr>
        <w:spacing w:after="19" w:line="259" w:lineRule="auto"/>
        <w:jc w:val="both"/>
        <w:rPr>
          <w:rFonts w:asciiTheme="majorHAnsi" w:hAnsiTheme="majorHAnsi"/>
          <w:sz w:val="28"/>
          <w:szCs w:val="28"/>
        </w:rPr>
      </w:pPr>
      <w:r w:rsidRPr="008923E3">
        <w:rPr>
          <w:rFonts w:asciiTheme="majorHAnsi" w:hAnsiTheme="majorHAnsi"/>
          <w:sz w:val="28"/>
          <w:szCs w:val="28"/>
        </w:rPr>
        <w:t xml:space="preserve"> </w:t>
      </w:r>
    </w:p>
    <w:p w:rsidR="00DC196E" w:rsidRPr="00562F7D" w:rsidRDefault="00DC196E" w:rsidP="0058030C">
      <w:pPr>
        <w:pStyle w:val="Normal2"/>
        <w:tabs>
          <w:tab w:val="clear" w:pos="284"/>
          <w:tab w:val="clear" w:pos="567"/>
          <w:tab w:val="clear" w:pos="851"/>
          <w:tab w:val="clear" w:pos="1134"/>
          <w:tab w:val="clear" w:pos="2835"/>
          <w:tab w:val="clear" w:pos="5670"/>
          <w:tab w:val="clear" w:pos="9072"/>
        </w:tabs>
        <w:ind w:left="720"/>
        <w:rPr>
          <w:rFonts w:ascii="Arial" w:hAnsi="Arial" w:cs="Arial"/>
          <w:i/>
          <w:szCs w:val="24"/>
          <w:lang w:val="pl-PL"/>
        </w:rPr>
      </w:pPr>
    </w:p>
    <w:sectPr w:rsidR="00DC196E" w:rsidRPr="00562F7D" w:rsidSect="003F604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76" w:right="746" w:bottom="851" w:left="1260" w:header="708" w:footer="9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DF" w:rsidRDefault="005B71DF">
      <w:r>
        <w:separator/>
      </w:r>
    </w:p>
  </w:endnote>
  <w:endnote w:type="continuationSeparator" w:id="0">
    <w:p w:rsidR="005B71DF" w:rsidRDefault="005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-Palati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E8" w:rsidRDefault="009164E8" w:rsidP="001F1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64E8" w:rsidRDefault="009164E8" w:rsidP="006B3E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E8" w:rsidRPr="008923E3" w:rsidRDefault="008923E3" w:rsidP="008923E3">
    <w:pPr>
      <w:pStyle w:val="Footer"/>
      <w:ind w:right="360"/>
      <w:jc w:val="center"/>
      <w:rPr>
        <w:rFonts w:asciiTheme="minorHAnsi" w:hAnsiTheme="minorHAnsi"/>
        <w:b/>
        <w:lang w:val="hr-BA"/>
      </w:rPr>
    </w:pPr>
    <w:r w:rsidRPr="008923E3">
      <w:rPr>
        <w:rFonts w:asciiTheme="minorHAnsi" w:hAnsiTheme="minorHAnsi"/>
        <w:b/>
        <w:lang w:val="hr-BA"/>
      </w:rPr>
      <w:t>ZAHTJEV ZA OKOLIŠNU DOZVOLU      PK „Bosiljna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E8" w:rsidRDefault="00D73D94" w:rsidP="00FE01FD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9525</wp:posOffset>
              </wp:positionV>
              <wp:extent cx="5944235" cy="635"/>
              <wp:effectExtent l="13970" t="9525" r="13970" b="88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548D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75pt" to="46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tcJw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9164E8">
          <w:rPr>
            <w:rFonts w:ascii="Arial" w:hAnsi="Arial"/>
            <w:sz w:val="16"/>
          </w:rPr>
          <w:t>Sarajevo</w:t>
        </w:r>
      </w:smartTag>
    </w:smartTag>
    <w:r w:rsidR="009164E8">
      <w:rPr>
        <w:rFonts w:ascii="Arial" w:hAnsi="Arial"/>
        <w:sz w:val="16"/>
      </w:rPr>
      <w:t>, Alipašina Tel + 387 33 201 602</w:t>
    </w:r>
  </w:p>
  <w:p w:rsidR="009164E8" w:rsidRDefault="00916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DF" w:rsidRDefault="005B71DF">
      <w:r>
        <w:separator/>
      </w:r>
    </w:p>
  </w:footnote>
  <w:footnote w:type="continuationSeparator" w:id="0">
    <w:p w:rsidR="005B71DF" w:rsidRDefault="005B7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9DD" w:rsidRPr="008923E3" w:rsidRDefault="008923E3" w:rsidP="008923E3">
    <w:pPr>
      <w:pStyle w:val="Header"/>
      <w:jc w:val="center"/>
      <w:rPr>
        <w:rFonts w:asciiTheme="minorHAnsi" w:hAnsiTheme="minorHAnsi"/>
        <w:b/>
        <w:sz w:val="28"/>
        <w:szCs w:val="28"/>
        <w:lang w:val="hr-BA"/>
      </w:rPr>
    </w:pPr>
    <w:r w:rsidRPr="008923E3">
      <w:rPr>
        <w:rFonts w:asciiTheme="minorHAnsi" w:hAnsiTheme="minorHAnsi"/>
        <w:b/>
        <w:sz w:val="28"/>
        <w:szCs w:val="28"/>
        <w:lang w:val="hr-BA"/>
      </w:rPr>
      <w:t>LAGER d.o.o. POSUŠJE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910"/>
    <w:multiLevelType w:val="hybridMultilevel"/>
    <w:tmpl w:val="44FE3598"/>
    <w:lvl w:ilvl="0" w:tplc="5DEA3522">
      <w:start w:val="1"/>
      <w:numFmt w:val="decimal"/>
      <w:lvlText w:val="%1."/>
      <w:lvlJc w:val="left"/>
      <w:pPr>
        <w:ind w:left="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AF9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AEA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A1A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88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E49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8A92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E67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F44E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33BC3"/>
    <w:multiLevelType w:val="hybridMultilevel"/>
    <w:tmpl w:val="E50218FE"/>
    <w:lvl w:ilvl="0" w:tplc="328ED9A4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8BA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BA81F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CFF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82B0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E070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E67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D6BDC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43B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9C1E4F"/>
    <w:multiLevelType w:val="hybridMultilevel"/>
    <w:tmpl w:val="DD24519E"/>
    <w:lvl w:ilvl="0" w:tplc="815068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4891F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C36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2E6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8E6A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E4345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6897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EE7B8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14C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A55206"/>
    <w:multiLevelType w:val="hybridMultilevel"/>
    <w:tmpl w:val="EE78F8FE"/>
    <w:lvl w:ilvl="0" w:tplc="EA20648C">
      <w:start w:val="5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283A6">
      <w:start w:val="1"/>
      <w:numFmt w:val="lowerLetter"/>
      <w:lvlText w:val="%2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EACEC">
      <w:start w:val="1"/>
      <w:numFmt w:val="lowerRoman"/>
      <w:lvlText w:val="%3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744ECA">
      <w:start w:val="1"/>
      <w:numFmt w:val="decimal"/>
      <w:lvlText w:val="%4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FE9842">
      <w:start w:val="1"/>
      <w:numFmt w:val="lowerLetter"/>
      <w:lvlText w:val="%5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67D5C">
      <w:start w:val="1"/>
      <w:numFmt w:val="lowerRoman"/>
      <w:lvlText w:val="%6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A23AC">
      <w:start w:val="1"/>
      <w:numFmt w:val="decimal"/>
      <w:lvlText w:val="%7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031BE">
      <w:start w:val="1"/>
      <w:numFmt w:val="lowerLetter"/>
      <w:lvlText w:val="%8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25F80">
      <w:start w:val="1"/>
      <w:numFmt w:val="lowerRoman"/>
      <w:lvlText w:val="%9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9172980"/>
    <w:multiLevelType w:val="hybridMultilevel"/>
    <w:tmpl w:val="B14A1762"/>
    <w:lvl w:ilvl="0" w:tplc="946C9E9A">
      <w:start w:val="1"/>
      <w:numFmt w:val="bullet"/>
      <w:lvlText w:val="-"/>
      <w:lvlJc w:val="left"/>
      <w:pPr>
        <w:ind w:left="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920A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1018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AE18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29A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6B2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EEB3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ABD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FA236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CB75E6C"/>
    <w:multiLevelType w:val="hybridMultilevel"/>
    <w:tmpl w:val="298668A6"/>
    <w:lvl w:ilvl="0" w:tplc="2A4C294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5E9B6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E53A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828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E765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221A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9AF3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C40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52AE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DA32BE"/>
    <w:multiLevelType w:val="hybridMultilevel"/>
    <w:tmpl w:val="B15829BA"/>
    <w:lvl w:ilvl="0" w:tplc="224C0B1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4B6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683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A2E38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EEAB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8EF9D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F64A6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41C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14468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0B7849"/>
    <w:multiLevelType w:val="hybridMultilevel"/>
    <w:tmpl w:val="DA1870CA"/>
    <w:lvl w:ilvl="0" w:tplc="5B3C6EF0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2B5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6C4E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98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12352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A93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2BC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6FF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9045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201350"/>
    <w:multiLevelType w:val="hybridMultilevel"/>
    <w:tmpl w:val="22E2B492"/>
    <w:lvl w:ilvl="0" w:tplc="D41CEE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F5EA">
      <w:start w:val="1"/>
      <w:numFmt w:val="bullet"/>
      <w:lvlText w:val="o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ECE2A">
      <w:start w:val="1"/>
      <w:numFmt w:val="bullet"/>
      <w:lvlText w:val="▪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64C18">
      <w:start w:val="1"/>
      <w:numFmt w:val="bullet"/>
      <w:lvlText w:val="•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C85CF2">
      <w:start w:val="1"/>
      <w:numFmt w:val="bullet"/>
      <w:lvlText w:val="o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EC958">
      <w:start w:val="1"/>
      <w:numFmt w:val="bullet"/>
      <w:lvlText w:val="▪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84F78">
      <w:start w:val="1"/>
      <w:numFmt w:val="bullet"/>
      <w:lvlText w:val="•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A632A">
      <w:start w:val="1"/>
      <w:numFmt w:val="bullet"/>
      <w:lvlText w:val="o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40F1E">
      <w:start w:val="1"/>
      <w:numFmt w:val="bullet"/>
      <w:lvlText w:val="▪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1A6EDD"/>
    <w:multiLevelType w:val="hybridMultilevel"/>
    <w:tmpl w:val="D6540D0A"/>
    <w:lvl w:ilvl="0" w:tplc="886E55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2B0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E2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0EB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A6B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ACE1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238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6B5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4E09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79"/>
    <w:rsid w:val="00005BD9"/>
    <w:rsid w:val="00010366"/>
    <w:rsid w:val="00013E4C"/>
    <w:rsid w:val="00016464"/>
    <w:rsid w:val="00031D8D"/>
    <w:rsid w:val="0003371E"/>
    <w:rsid w:val="00034630"/>
    <w:rsid w:val="00047A16"/>
    <w:rsid w:val="00053E2B"/>
    <w:rsid w:val="000657AA"/>
    <w:rsid w:val="000661A1"/>
    <w:rsid w:val="00070165"/>
    <w:rsid w:val="00070CC5"/>
    <w:rsid w:val="00070DA2"/>
    <w:rsid w:val="00076776"/>
    <w:rsid w:val="000837B8"/>
    <w:rsid w:val="000901CF"/>
    <w:rsid w:val="0009118D"/>
    <w:rsid w:val="0009165C"/>
    <w:rsid w:val="00092BDF"/>
    <w:rsid w:val="00095669"/>
    <w:rsid w:val="0009604E"/>
    <w:rsid w:val="000A23C0"/>
    <w:rsid w:val="000A3188"/>
    <w:rsid w:val="000A3C60"/>
    <w:rsid w:val="000A6EB2"/>
    <w:rsid w:val="000B36AA"/>
    <w:rsid w:val="000B6AB3"/>
    <w:rsid w:val="000C51B5"/>
    <w:rsid w:val="000C5C5C"/>
    <w:rsid w:val="000E092F"/>
    <w:rsid w:val="000E1944"/>
    <w:rsid w:val="000E1ADB"/>
    <w:rsid w:val="000E3BCF"/>
    <w:rsid w:val="000F62F2"/>
    <w:rsid w:val="001027AB"/>
    <w:rsid w:val="00103A7F"/>
    <w:rsid w:val="00105EEB"/>
    <w:rsid w:val="00106072"/>
    <w:rsid w:val="00110BCA"/>
    <w:rsid w:val="00110C8A"/>
    <w:rsid w:val="001153E5"/>
    <w:rsid w:val="00116880"/>
    <w:rsid w:val="001178CB"/>
    <w:rsid w:val="0012193B"/>
    <w:rsid w:val="00122DEC"/>
    <w:rsid w:val="001246F9"/>
    <w:rsid w:val="00127371"/>
    <w:rsid w:val="001317E4"/>
    <w:rsid w:val="00132225"/>
    <w:rsid w:val="00132A35"/>
    <w:rsid w:val="0013410C"/>
    <w:rsid w:val="001359C5"/>
    <w:rsid w:val="001364F3"/>
    <w:rsid w:val="00140570"/>
    <w:rsid w:val="00140760"/>
    <w:rsid w:val="00140FC6"/>
    <w:rsid w:val="001500A8"/>
    <w:rsid w:val="0015757C"/>
    <w:rsid w:val="0016121A"/>
    <w:rsid w:val="00162F21"/>
    <w:rsid w:val="0016302A"/>
    <w:rsid w:val="001643A1"/>
    <w:rsid w:val="0017088A"/>
    <w:rsid w:val="00171969"/>
    <w:rsid w:val="001737AD"/>
    <w:rsid w:val="00174509"/>
    <w:rsid w:val="001776B0"/>
    <w:rsid w:val="00177FAD"/>
    <w:rsid w:val="00180C01"/>
    <w:rsid w:val="001840AA"/>
    <w:rsid w:val="00186A9F"/>
    <w:rsid w:val="00192598"/>
    <w:rsid w:val="00197CB2"/>
    <w:rsid w:val="001A00BF"/>
    <w:rsid w:val="001A29A2"/>
    <w:rsid w:val="001A2F05"/>
    <w:rsid w:val="001A47B1"/>
    <w:rsid w:val="001A6FAD"/>
    <w:rsid w:val="001B0614"/>
    <w:rsid w:val="001B5B01"/>
    <w:rsid w:val="001B6DE8"/>
    <w:rsid w:val="001B7D1C"/>
    <w:rsid w:val="001D1B75"/>
    <w:rsid w:val="001D2360"/>
    <w:rsid w:val="001D4715"/>
    <w:rsid w:val="001D7D74"/>
    <w:rsid w:val="001E13D8"/>
    <w:rsid w:val="001E18EC"/>
    <w:rsid w:val="001E6761"/>
    <w:rsid w:val="001F1552"/>
    <w:rsid w:val="001F29CE"/>
    <w:rsid w:val="0022508B"/>
    <w:rsid w:val="0023204C"/>
    <w:rsid w:val="002342A7"/>
    <w:rsid w:val="002346DF"/>
    <w:rsid w:val="00240BA7"/>
    <w:rsid w:val="0024414A"/>
    <w:rsid w:val="00247B01"/>
    <w:rsid w:val="0025290C"/>
    <w:rsid w:val="00260255"/>
    <w:rsid w:val="00270BAB"/>
    <w:rsid w:val="00273C9F"/>
    <w:rsid w:val="0027590D"/>
    <w:rsid w:val="00275BFC"/>
    <w:rsid w:val="002764FF"/>
    <w:rsid w:val="00282A10"/>
    <w:rsid w:val="00282E89"/>
    <w:rsid w:val="002904DB"/>
    <w:rsid w:val="00291E94"/>
    <w:rsid w:val="002A0003"/>
    <w:rsid w:val="002A4A7A"/>
    <w:rsid w:val="002B1881"/>
    <w:rsid w:val="002C20E5"/>
    <w:rsid w:val="002C2775"/>
    <w:rsid w:val="002C52C5"/>
    <w:rsid w:val="002D33BD"/>
    <w:rsid w:val="002D5270"/>
    <w:rsid w:val="002E27A5"/>
    <w:rsid w:val="002E6371"/>
    <w:rsid w:val="002E73B2"/>
    <w:rsid w:val="002F4584"/>
    <w:rsid w:val="002F7EA0"/>
    <w:rsid w:val="003008AA"/>
    <w:rsid w:val="00311D77"/>
    <w:rsid w:val="003240EA"/>
    <w:rsid w:val="0032686A"/>
    <w:rsid w:val="00332239"/>
    <w:rsid w:val="0034071C"/>
    <w:rsid w:val="003410D9"/>
    <w:rsid w:val="00343D54"/>
    <w:rsid w:val="003614C1"/>
    <w:rsid w:val="003639DD"/>
    <w:rsid w:val="003639DE"/>
    <w:rsid w:val="00364368"/>
    <w:rsid w:val="0036521B"/>
    <w:rsid w:val="00370444"/>
    <w:rsid w:val="00375467"/>
    <w:rsid w:val="00382A36"/>
    <w:rsid w:val="00386128"/>
    <w:rsid w:val="00393CC3"/>
    <w:rsid w:val="003958A3"/>
    <w:rsid w:val="003A6E83"/>
    <w:rsid w:val="003B5854"/>
    <w:rsid w:val="003C7E06"/>
    <w:rsid w:val="003D606C"/>
    <w:rsid w:val="003D6522"/>
    <w:rsid w:val="003F3F7B"/>
    <w:rsid w:val="003F6040"/>
    <w:rsid w:val="003F63BE"/>
    <w:rsid w:val="004036CD"/>
    <w:rsid w:val="0040498A"/>
    <w:rsid w:val="00405406"/>
    <w:rsid w:val="004144B3"/>
    <w:rsid w:val="00417A65"/>
    <w:rsid w:val="004217AF"/>
    <w:rsid w:val="00425F2A"/>
    <w:rsid w:val="004343B8"/>
    <w:rsid w:val="00440CD5"/>
    <w:rsid w:val="00442F9A"/>
    <w:rsid w:val="0045269B"/>
    <w:rsid w:val="00453268"/>
    <w:rsid w:val="0045671B"/>
    <w:rsid w:val="004604F1"/>
    <w:rsid w:val="00464B0D"/>
    <w:rsid w:val="004652E8"/>
    <w:rsid w:val="00470825"/>
    <w:rsid w:val="00476329"/>
    <w:rsid w:val="004766E9"/>
    <w:rsid w:val="004768F6"/>
    <w:rsid w:val="00481BC1"/>
    <w:rsid w:val="00483033"/>
    <w:rsid w:val="00484022"/>
    <w:rsid w:val="00491E0E"/>
    <w:rsid w:val="00492220"/>
    <w:rsid w:val="00492F0E"/>
    <w:rsid w:val="00493919"/>
    <w:rsid w:val="004A0FC0"/>
    <w:rsid w:val="004A734E"/>
    <w:rsid w:val="004B7384"/>
    <w:rsid w:val="004C2D8F"/>
    <w:rsid w:val="004C3F19"/>
    <w:rsid w:val="004C5150"/>
    <w:rsid w:val="004D1AD9"/>
    <w:rsid w:val="004D48EC"/>
    <w:rsid w:val="004E1CF2"/>
    <w:rsid w:val="004E4468"/>
    <w:rsid w:val="004F3B9F"/>
    <w:rsid w:val="004F4888"/>
    <w:rsid w:val="005041F2"/>
    <w:rsid w:val="00504B96"/>
    <w:rsid w:val="00505D64"/>
    <w:rsid w:val="0050672E"/>
    <w:rsid w:val="00506906"/>
    <w:rsid w:val="00515FA6"/>
    <w:rsid w:val="0051735B"/>
    <w:rsid w:val="005220D6"/>
    <w:rsid w:val="00523D32"/>
    <w:rsid w:val="00526FD6"/>
    <w:rsid w:val="005312C6"/>
    <w:rsid w:val="0053220E"/>
    <w:rsid w:val="00535839"/>
    <w:rsid w:val="005469D8"/>
    <w:rsid w:val="0054734F"/>
    <w:rsid w:val="005516BF"/>
    <w:rsid w:val="00553ACC"/>
    <w:rsid w:val="0056274F"/>
    <w:rsid w:val="00562873"/>
    <w:rsid w:val="00562F7D"/>
    <w:rsid w:val="00563CC0"/>
    <w:rsid w:val="00565FB8"/>
    <w:rsid w:val="005715F9"/>
    <w:rsid w:val="005724A6"/>
    <w:rsid w:val="005729E3"/>
    <w:rsid w:val="00577988"/>
    <w:rsid w:val="0058030C"/>
    <w:rsid w:val="00581C76"/>
    <w:rsid w:val="0059644C"/>
    <w:rsid w:val="005A6930"/>
    <w:rsid w:val="005A6DDE"/>
    <w:rsid w:val="005B568D"/>
    <w:rsid w:val="005B71DF"/>
    <w:rsid w:val="005D0A35"/>
    <w:rsid w:val="005D207B"/>
    <w:rsid w:val="005D3B20"/>
    <w:rsid w:val="005E501D"/>
    <w:rsid w:val="005F25D2"/>
    <w:rsid w:val="00601198"/>
    <w:rsid w:val="00601F5F"/>
    <w:rsid w:val="00607646"/>
    <w:rsid w:val="00611617"/>
    <w:rsid w:val="006145DE"/>
    <w:rsid w:val="00620FE3"/>
    <w:rsid w:val="00621B2D"/>
    <w:rsid w:val="00627FF6"/>
    <w:rsid w:val="00630FCC"/>
    <w:rsid w:val="00640B69"/>
    <w:rsid w:val="00640CB6"/>
    <w:rsid w:val="006444D7"/>
    <w:rsid w:val="00650242"/>
    <w:rsid w:val="006620B4"/>
    <w:rsid w:val="00670A2A"/>
    <w:rsid w:val="00672834"/>
    <w:rsid w:val="0067284B"/>
    <w:rsid w:val="00672B0D"/>
    <w:rsid w:val="00673507"/>
    <w:rsid w:val="00673B6D"/>
    <w:rsid w:val="0067495B"/>
    <w:rsid w:val="006769A6"/>
    <w:rsid w:val="0068114B"/>
    <w:rsid w:val="006822D7"/>
    <w:rsid w:val="0068233B"/>
    <w:rsid w:val="00690D8C"/>
    <w:rsid w:val="00690FB6"/>
    <w:rsid w:val="00693202"/>
    <w:rsid w:val="00696137"/>
    <w:rsid w:val="006A2AC3"/>
    <w:rsid w:val="006B36CB"/>
    <w:rsid w:val="006B3E33"/>
    <w:rsid w:val="006C00F5"/>
    <w:rsid w:val="006C7A7F"/>
    <w:rsid w:val="006D08D6"/>
    <w:rsid w:val="006D72FD"/>
    <w:rsid w:val="006D7CC6"/>
    <w:rsid w:val="006E1372"/>
    <w:rsid w:val="006E2AA4"/>
    <w:rsid w:val="006E472D"/>
    <w:rsid w:val="006F1AC6"/>
    <w:rsid w:val="006F62ED"/>
    <w:rsid w:val="006F662A"/>
    <w:rsid w:val="00705D66"/>
    <w:rsid w:val="00714160"/>
    <w:rsid w:val="00720C66"/>
    <w:rsid w:val="007221F6"/>
    <w:rsid w:val="00723EEB"/>
    <w:rsid w:val="0072782F"/>
    <w:rsid w:val="00734109"/>
    <w:rsid w:val="00754EE3"/>
    <w:rsid w:val="00757DE0"/>
    <w:rsid w:val="00780B3E"/>
    <w:rsid w:val="007950DA"/>
    <w:rsid w:val="007961C5"/>
    <w:rsid w:val="00797C98"/>
    <w:rsid w:val="007A47C3"/>
    <w:rsid w:val="007A7C8F"/>
    <w:rsid w:val="007B1391"/>
    <w:rsid w:val="007C27DD"/>
    <w:rsid w:val="007C3150"/>
    <w:rsid w:val="007C3AD0"/>
    <w:rsid w:val="007C4624"/>
    <w:rsid w:val="007D010E"/>
    <w:rsid w:val="007D4EC3"/>
    <w:rsid w:val="007D6020"/>
    <w:rsid w:val="007E380F"/>
    <w:rsid w:val="007E5B3E"/>
    <w:rsid w:val="007F2090"/>
    <w:rsid w:val="007F658A"/>
    <w:rsid w:val="007F7824"/>
    <w:rsid w:val="00805CFB"/>
    <w:rsid w:val="00811AC7"/>
    <w:rsid w:val="00812DD6"/>
    <w:rsid w:val="00817AB4"/>
    <w:rsid w:val="00820EAC"/>
    <w:rsid w:val="008211E1"/>
    <w:rsid w:val="008221F9"/>
    <w:rsid w:val="00824036"/>
    <w:rsid w:val="00824D54"/>
    <w:rsid w:val="00833E8F"/>
    <w:rsid w:val="00840C2E"/>
    <w:rsid w:val="008412B1"/>
    <w:rsid w:val="00850246"/>
    <w:rsid w:val="0085289E"/>
    <w:rsid w:val="00863DF3"/>
    <w:rsid w:val="00865BE8"/>
    <w:rsid w:val="00872DA3"/>
    <w:rsid w:val="008778E5"/>
    <w:rsid w:val="0088010D"/>
    <w:rsid w:val="00887908"/>
    <w:rsid w:val="008923E3"/>
    <w:rsid w:val="008939A9"/>
    <w:rsid w:val="008A1495"/>
    <w:rsid w:val="008A3AB4"/>
    <w:rsid w:val="008A70F8"/>
    <w:rsid w:val="008A7F27"/>
    <w:rsid w:val="008B14EB"/>
    <w:rsid w:val="008B7F2D"/>
    <w:rsid w:val="008C010C"/>
    <w:rsid w:val="008F3B72"/>
    <w:rsid w:val="00907513"/>
    <w:rsid w:val="00911C03"/>
    <w:rsid w:val="00912CCF"/>
    <w:rsid w:val="0091481C"/>
    <w:rsid w:val="009164E8"/>
    <w:rsid w:val="0092313C"/>
    <w:rsid w:val="009248E3"/>
    <w:rsid w:val="009327FE"/>
    <w:rsid w:val="00936679"/>
    <w:rsid w:val="00943613"/>
    <w:rsid w:val="00953790"/>
    <w:rsid w:val="00964D7F"/>
    <w:rsid w:val="0097162B"/>
    <w:rsid w:val="00976C0A"/>
    <w:rsid w:val="009952AC"/>
    <w:rsid w:val="00997D3E"/>
    <w:rsid w:val="009A77EB"/>
    <w:rsid w:val="009B1A04"/>
    <w:rsid w:val="009B2084"/>
    <w:rsid w:val="009B6820"/>
    <w:rsid w:val="009B7854"/>
    <w:rsid w:val="009C6041"/>
    <w:rsid w:val="009C77AC"/>
    <w:rsid w:val="009D3D8A"/>
    <w:rsid w:val="009D6365"/>
    <w:rsid w:val="009D7C1F"/>
    <w:rsid w:val="009E4B31"/>
    <w:rsid w:val="009F4125"/>
    <w:rsid w:val="00A01B61"/>
    <w:rsid w:val="00A0288C"/>
    <w:rsid w:val="00A02E94"/>
    <w:rsid w:val="00A20AEF"/>
    <w:rsid w:val="00A22AA8"/>
    <w:rsid w:val="00A247A3"/>
    <w:rsid w:val="00A30494"/>
    <w:rsid w:val="00A306E7"/>
    <w:rsid w:val="00A30B52"/>
    <w:rsid w:val="00A3380B"/>
    <w:rsid w:val="00A33C29"/>
    <w:rsid w:val="00A35CFC"/>
    <w:rsid w:val="00A441EE"/>
    <w:rsid w:val="00A47A4F"/>
    <w:rsid w:val="00A5525C"/>
    <w:rsid w:val="00A56E02"/>
    <w:rsid w:val="00A60241"/>
    <w:rsid w:val="00A70BFB"/>
    <w:rsid w:val="00A7622C"/>
    <w:rsid w:val="00A80F95"/>
    <w:rsid w:val="00A81A1A"/>
    <w:rsid w:val="00A91461"/>
    <w:rsid w:val="00A92D3A"/>
    <w:rsid w:val="00A951B1"/>
    <w:rsid w:val="00A95CFC"/>
    <w:rsid w:val="00A973F0"/>
    <w:rsid w:val="00AA14DB"/>
    <w:rsid w:val="00AB027E"/>
    <w:rsid w:val="00AB6C57"/>
    <w:rsid w:val="00AC195E"/>
    <w:rsid w:val="00AC406B"/>
    <w:rsid w:val="00AC69DB"/>
    <w:rsid w:val="00AC73CF"/>
    <w:rsid w:val="00AD3654"/>
    <w:rsid w:val="00AE4DE4"/>
    <w:rsid w:val="00AF2437"/>
    <w:rsid w:val="00B15F9C"/>
    <w:rsid w:val="00B16B5C"/>
    <w:rsid w:val="00B219CB"/>
    <w:rsid w:val="00B22680"/>
    <w:rsid w:val="00B2656A"/>
    <w:rsid w:val="00B3064E"/>
    <w:rsid w:val="00B30DFB"/>
    <w:rsid w:val="00B42CDB"/>
    <w:rsid w:val="00B474C5"/>
    <w:rsid w:val="00B47BCC"/>
    <w:rsid w:val="00B50ACA"/>
    <w:rsid w:val="00B51C6E"/>
    <w:rsid w:val="00B53EB8"/>
    <w:rsid w:val="00B57919"/>
    <w:rsid w:val="00B60365"/>
    <w:rsid w:val="00B61A5B"/>
    <w:rsid w:val="00B62330"/>
    <w:rsid w:val="00B676A7"/>
    <w:rsid w:val="00B81F53"/>
    <w:rsid w:val="00B82CA6"/>
    <w:rsid w:val="00B86D23"/>
    <w:rsid w:val="00B8790E"/>
    <w:rsid w:val="00B96BB1"/>
    <w:rsid w:val="00BA4A7C"/>
    <w:rsid w:val="00BA66D9"/>
    <w:rsid w:val="00BB0CFB"/>
    <w:rsid w:val="00BB153D"/>
    <w:rsid w:val="00BB45B4"/>
    <w:rsid w:val="00BB4BF8"/>
    <w:rsid w:val="00BB4D6B"/>
    <w:rsid w:val="00BB545F"/>
    <w:rsid w:val="00BB776B"/>
    <w:rsid w:val="00BC0B77"/>
    <w:rsid w:val="00BC2ED7"/>
    <w:rsid w:val="00BC50A0"/>
    <w:rsid w:val="00BD0017"/>
    <w:rsid w:val="00BD380A"/>
    <w:rsid w:val="00BE03CD"/>
    <w:rsid w:val="00BE104D"/>
    <w:rsid w:val="00BE26BB"/>
    <w:rsid w:val="00BE4CE1"/>
    <w:rsid w:val="00BE6F07"/>
    <w:rsid w:val="00BE746B"/>
    <w:rsid w:val="00BF029F"/>
    <w:rsid w:val="00BF532C"/>
    <w:rsid w:val="00C00458"/>
    <w:rsid w:val="00C060EA"/>
    <w:rsid w:val="00C06A80"/>
    <w:rsid w:val="00C071AC"/>
    <w:rsid w:val="00C117AE"/>
    <w:rsid w:val="00C13D88"/>
    <w:rsid w:val="00C320C3"/>
    <w:rsid w:val="00C33B95"/>
    <w:rsid w:val="00C33BB4"/>
    <w:rsid w:val="00C432DA"/>
    <w:rsid w:val="00C45D7E"/>
    <w:rsid w:val="00C46E23"/>
    <w:rsid w:val="00C566F8"/>
    <w:rsid w:val="00C62E8F"/>
    <w:rsid w:val="00C63F54"/>
    <w:rsid w:val="00C65F9C"/>
    <w:rsid w:val="00C66826"/>
    <w:rsid w:val="00C67C12"/>
    <w:rsid w:val="00C7064F"/>
    <w:rsid w:val="00C707B7"/>
    <w:rsid w:val="00C83E15"/>
    <w:rsid w:val="00C9255C"/>
    <w:rsid w:val="00CA6B1C"/>
    <w:rsid w:val="00CA790A"/>
    <w:rsid w:val="00CB13B6"/>
    <w:rsid w:val="00CC0D1D"/>
    <w:rsid w:val="00CC5B44"/>
    <w:rsid w:val="00CC7E4C"/>
    <w:rsid w:val="00CD353D"/>
    <w:rsid w:val="00CD3DDF"/>
    <w:rsid w:val="00CE0EE6"/>
    <w:rsid w:val="00CE1E53"/>
    <w:rsid w:val="00CE28BA"/>
    <w:rsid w:val="00CE4E39"/>
    <w:rsid w:val="00CE7111"/>
    <w:rsid w:val="00CE71ED"/>
    <w:rsid w:val="00D0045F"/>
    <w:rsid w:val="00D04F86"/>
    <w:rsid w:val="00D06490"/>
    <w:rsid w:val="00D0701C"/>
    <w:rsid w:val="00D11F37"/>
    <w:rsid w:val="00D1211F"/>
    <w:rsid w:val="00D127AF"/>
    <w:rsid w:val="00D16A4D"/>
    <w:rsid w:val="00D27E64"/>
    <w:rsid w:val="00D33C6C"/>
    <w:rsid w:val="00D402CB"/>
    <w:rsid w:val="00D41135"/>
    <w:rsid w:val="00D43460"/>
    <w:rsid w:val="00D45EC0"/>
    <w:rsid w:val="00D51355"/>
    <w:rsid w:val="00D51D29"/>
    <w:rsid w:val="00D562B8"/>
    <w:rsid w:val="00D6252F"/>
    <w:rsid w:val="00D63D88"/>
    <w:rsid w:val="00D64B00"/>
    <w:rsid w:val="00D7139D"/>
    <w:rsid w:val="00D73D94"/>
    <w:rsid w:val="00D74FB1"/>
    <w:rsid w:val="00D828ED"/>
    <w:rsid w:val="00D902B7"/>
    <w:rsid w:val="00D92DE7"/>
    <w:rsid w:val="00D933A9"/>
    <w:rsid w:val="00D9345F"/>
    <w:rsid w:val="00DA470B"/>
    <w:rsid w:val="00DA611A"/>
    <w:rsid w:val="00DB04ED"/>
    <w:rsid w:val="00DB0E7C"/>
    <w:rsid w:val="00DB6E68"/>
    <w:rsid w:val="00DC1566"/>
    <w:rsid w:val="00DC196E"/>
    <w:rsid w:val="00DC6BF9"/>
    <w:rsid w:val="00DD715B"/>
    <w:rsid w:val="00DE46C0"/>
    <w:rsid w:val="00DE55DA"/>
    <w:rsid w:val="00DF05E2"/>
    <w:rsid w:val="00DF377A"/>
    <w:rsid w:val="00E0796B"/>
    <w:rsid w:val="00E2128B"/>
    <w:rsid w:val="00E2327F"/>
    <w:rsid w:val="00E34282"/>
    <w:rsid w:val="00E3451C"/>
    <w:rsid w:val="00E44EDC"/>
    <w:rsid w:val="00E4657A"/>
    <w:rsid w:val="00E56438"/>
    <w:rsid w:val="00E63DB0"/>
    <w:rsid w:val="00E66198"/>
    <w:rsid w:val="00E668FE"/>
    <w:rsid w:val="00E71C4B"/>
    <w:rsid w:val="00E763E1"/>
    <w:rsid w:val="00E76868"/>
    <w:rsid w:val="00E83C02"/>
    <w:rsid w:val="00E903EC"/>
    <w:rsid w:val="00E90F7A"/>
    <w:rsid w:val="00E91D3F"/>
    <w:rsid w:val="00E947DB"/>
    <w:rsid w:val="00E96E34"/>
    <w:rsid w:val="00EA144B"/>
    <w:rsid w:val="00EA70CC"/>
    <w:rsid w:val="00EA79A2"/>
    <w:rsid w:val="00EB2098"/>
    <w:rsid w:val="00EB2F57"/>
    <w:rsid w:val="00EB363A"/>
    <w:rsid w:val="00EB4ED9"/>
    <w:rsid w:val="00EC1055"/>
    <w:rsid w:val="00EC1BC7"/>
    <w:rsid w:val="00EC42B3"/>
    <w:rsid w:val="00EC548D"/>
    <w:rsid w:val="00ED2A9A"/>
    <w:rsid w:val="00ED4B49"/>
    <w:rsid w:val="00EE1D4F"/>
    <w:rsid w:val="00EE3F4C"/>
    <w:rsid w:val="00EF3994"/>
    <w:rsid w:val="00EF3DCC"/>
    <w:rsid w:val="00EF6709"/>
    <w:rsid w:val="00F02D66"/>
    <w:rsid w:val="00F13021"/>
    <w:rsid w:val="00F146C7"/>
    <w:rsid w:val="00F14B25"/>
    <w:rsid w:val="00F14CDD"/>
    <w:rsid w:val="00F2102A"/>
    <w:rsid w:val="00F23A60"/>
    <w:rsid w:val="00F3511D"/>
    <w:rsid w:val="00F44923"/>
    <w:rsid w:val="00F457CE"/>
    <w:rsid w:val="00F45B43"/>
    <w:rsid w:val="00F50777"/>
    <w:rsid w:val="00F579F2"/>
    <w:rsid w:val="00F63B7E"/>
    <w:rsid w:val="00F679D4"/>
    <w:rsid w:val="00F7676A"/>
    <w:rsid w:val="00F7796A"/>
    <w:rsid w:val="00F80E54"/>
    <w:rsid w:val="00F81720"/>
    <w:rsid w:val="00F858EA"/>
    <w:rsid w:val="00F85CD6"/>
    <w:rsid w:val="00F86339"/>
    <w:rsid w:val="00F90A6F"/>
    <w:rsid w:val="00F91B1D"/>
    <w:rsid w:val="00F936CE"/>
    <w:rsid w:val="00F97497"/>
    <w:rsid w:val="00FA5EA5"/>
    <w:rsid w:val="00FA62CF"/>
    <w:rsid w:val="00FA64CF"/>
    <w:rsid w:val="00FA7B27"/>
    <w:rsid w:val="00FB41CB"/>
    <w:rsid w:val="00FC24D7"/>
    <w:rsid w:val="00FC7F17"/>
    <w:rsid w:val="00FD1074"/>
    <w:rsid w:val="00FD65EE"/>
    <w:rsid w:val="00FE01FD"/>
    <w:rsid w:val="00FE24D2"/>
    <w:rsid w:val="00FE3F2A"/>
    <w:rsid w:val="00FE4B1F"/>
    <w:rsid w:val="00FF2322"/>
    <w:rsid w:val="00FF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DAF85C4B-2356-4471-A7B7-7F8E0555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F2"/>
    <w:rPr>
      <w:rFonts w:ascii="CC-Palatino" w:hAnsi="CC-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F85CD6"/>
    <w:pPr>
      <w:keepNext/>
      <w:tabs>
        <w:tab w:val="num" w:pos="432"/>
        <w:tab w:val="left" w:pos="567"/>
      </w:tabs>
      <w:spacing w:before="1200" w:after="80"/>
      <w:ind w:left="432" w:hanging="432"/>
      <w:outlineLvl w:val="0"/>
    </w:pPr>
    <w:rPr>
      <w:rFonts w:ascii="Times New Roman" w:hAnsi="Times New Roman"/>
      <w:b/>
      <w:caps/>
      <w:szCs w:val="24"/>
      <w:lang w:val="hr-HR" w:eastAsia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F85CD6"/>
    <w:pPr>
      <w:keepNext/>
      <w:tabs>
        <w:tab w:val="left" w:pos="680"/>
        <w:tab w:val="num" w:pos="720"/>
      </w:tabs>
      <w:spacing w:before="240" w:after="80"/>
      <w:ind w:left="720" w:hanging="720"/>
      <w:outlineLvl w:val="2"/>
    </w:pPr>
    <w:rPr>
      <w:rFonts w:ascii="Times New Roman" w:hAnsi="Times New Roman" w:cs="Arial"/>
      <w:bCs/>
      <w:i/>
      <w:szCs w:val="24"/>
      <w:lang w:val="hr-HR" w:eastAsia="hr-HR"/>
    </w:rPr>
  </w:style>
  <w:style w:type="paragraph" w:styleId="Heading4">
    <w:name w:val="heading 4"/>
    <w:basedOn w:val="Normal"/>
    <w:next w:val="Normal"/>
    <w:qFormat/>
    <w:rsid w:val="00F85CD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Times New Roman" w:hAnsi="Times New Roman"/>
      <w:b/>
      <w:bCs/>
      <w:sz w:val="28"/>
      <w:szCs w:val="28"/>
      <w:lang w:val="hr-HR" w:eastAsia="hr-HR"/>
    </w:rPr>
  </w:style>
  <w:style w:type="paragraph" w:styleId="Heading5">
    <w:name w:val="heading 5"/>
    <w:basedOn w:val="Normal"/>
    <w:next w:val="Normal"/>
    <w:qFormat/>
    <w:rsid w:val="00F85CD6"/>
    <w:pPr>
      <w:tabs>
        <w:tab w:val="num" w:pos="1008"/>
      </w:tabs>
      <w:spacing w:before="240" w:after="60"/>
      <w:ind w:left="1008" w:hanging="1008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val="hr-HR" w:eastAsia="hr-HR"/>
    </w:rPr>
  </w:style>
  <w:style w:type="paragraph" w:styleId="Heading6">
    <w:name w:val="heading 6"/>
    <w:basedOn w:val="Normal"/>
    <w:next w:val="Normal"/>
    <w:qFormat/>
    <w:rsid w:val="00F85CD6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/>
      <w:b/>
      <w:bCs/>
      <w:sz w:val="22"/>
      <w:szCs w:val="22"/>
      <w:lang w:val="hr-HR" w:eastAsia="hr-HR"/>
    </w:rPr>
  </w:style>
  <w:style w:type="paragraph" w:styleId="Heading7">
    <w:name w:val="heading 7"/>
    <w:basedOn w:val="Normal"/>
    <w:next w:val="Normal"/>
    <w:qFormat/>
    <w:rsid w:val="00F85CD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Times New Roman" w:hAnsi="Times New Roman"/>
      <w:szCs w:val="24"/>
      <w:lang w:val="hr-HR" w:eastAsia="hr-HR"/>
    </w:rPr>
  </w:style>
  <w:style w:type="paragraph" w:styleId="Heading8">
    <w:name w:val="heading 8"/>
    <w:basedOn w:val="Normal"/>
    <w:next w:val="Normal"/>
    <w:qFormat/>
    <w:rsid w:val="00F85CD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Times New Roman" w:hAnsi="Times New Roman"/>
      <w:i/>
      <w:iCs/>
      <w:szCs w:val="24"/>
      <w:lang w:val="hr-HR" w:eastAsia="hr-HR"/>
    </w:rPr>
  </w:style>
  <w:style w:type="paragraph" w:styleId="Heading9">
    <w:name w:val="heading 9"/>
    <w:basedOn w:val="Normal"/>
    <w:next w:val="Normal"/>
    <w:qFormat/>
    <w:rsid w:val="00F85CD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Arial"/>
      <w:sz w:val="22"/>
      <w:szCs w:val="2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link w:val="BodyTextChar"/>
    <w:rPr>
      <w:rFonts w:ascii="Arial" w:hAnsi="Arial" w:cs="Arial"/>
      <w:iCs/>
      <w:sz w:val="22"/>
      <w:szCs w:val="22"/>
      <w:lang w:val="hr-HR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2"/>
      <w:szCs w:val="22"/>
      <w:lang w:val="hr-HR"/>
    </w:rPr>
  </w:style>
  <w:style w:type="character" w:styleId="PageNumber">
    <w:name w:val="page number"/>
    <w:basedOn w:val="DefaultParagraphFont"/>
    <w:rsid w:val="006B3E33"/>
  </w:style>
  <w:style w:type="paragraph" w:styleId="BodyText3">
    <w:name w:val="Body Text 3"/>
    <w:basedOn w:val="Normal"/>
    <w:rsid w:val="00F91B1D"/>
    <w:pPr>
      <w:spacing w:after="120"/>
    </w:pPr>
    <w:rPr>
      <w:sz w:val="16"/>
      <w:szCs w:val="16"/>
    </w:rPr>
  </w:style>
  <w:style w:type="character" w:customStyle="1" w:styleId="postcolor1">
    <w:name w:val="postcolor1"/>
    <w:basedOn w:val="DefaultParagraphFont"/>
    <w:rsid w:val="007F658A"/>
    <w:rPr>
      <w:sz w:val="18"/>
      <w:szCs w:val="18"/>
    </w:rPr>
  </w:style>
  <w:style w:type="paragraph" w:styleId="NormalWeb">
    <w:name w:val="Normal (Web)"/>
    <w:basedOn w:val="Normal"/>
    <w:rsid w:val="0023204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Cs w:val="24"/>
      <w:lang w:val="en-GB"/>
    </w:rPr>
  </w:style>
  <w:style w:type="paragraph" w:styleId="BodyTextIndent2">
    <w:name w:val="Body Text Indent 2"/>
    <w:basedOn w:val="Normal"/>
    <w:rsid w:val="000E1ADB"/>
    <w:pPr>
      <w:spacing w:after="120" w:line="480" w:lineRule="auto"/>
      <w:ind w:left="283"/>
    </w:pPr>
  </w:style>
  <w:style w:type="table" w:styleId="TableGrid">
    <w:name w:val="Table Grid"/>
    <w:basedOn w:val="TableNormal"/>
    <w:rsid w:val="000E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1">
    <w:name w:val="Tab 1"/>
    <w:basedOn w:val="Normal"/>
    <w:rsid w:val="00F85CD6"/>
    <w:pPr>
      <w:spacing w:before="40" w:after="40"/>
      <w:jc w:val="center"/>
    </w:pPr>
    <w:rPr>
      <w:rFonts w:ascii="Times New Roman" w:hAnsi="Times New Roman"/>
      <w:sz w:val="22"/>
      <w:szCs w:val="24"/>
      <w:lang w:val="hr-HR"/>
    </w:rPr>
  </w:style>
  <w:style w:type="paragraph" w:customStyle="1" w:styleId="Tab2">
    <w:name w:val="Tab 2"/>
    <w:basedOn w:val="Tab1"/>
    <w:rsid w:val="00F85CD6"/>
    <w:pPr>
      <w:jc w:val="left"/>
    </w:pPr>
  </w:style>
  <w:style w:type="paragraph" w:customStyle="1" w:styleId="Table">
    <w:name w:val="Table"/>
    <w:basedOn w:val="Normal"/>
    <w:rsid w:val="00F85CD6"/>
    <w:pPr>
      <w:keepNext/>
      <w:spacing w:before="360" w:after="120"/>
      <w:jc w:val="right"/>
    </w:pPr>
    <w:rPr>
      <w:rFonts w:ascii="Times New Roman" w:hAnsi="Times New Roman"/>
      <w:i/>
      <w:szCs w:val="24"/>
      <w:lang w:val="hr-HR"/>
    </w:rPr>
  </w:style>
  <w:style w:type="paragraph" w:styleId="Caption">
    <w:name w:val="caption"/>
    <w:basedOn w:val="Normal"/>
    <w:next w:val="Normal"/>
    <w:qFormat/>
    <w:rsid w:val="00F85CD6"/>
    <w:pPr>
      <w:spacing w:before="120" w:after="120"/>
      <w:jc w:val="both"/>
    </w:pPr>
    <w:rPr>
      <w:rFonts w:ascii="Arial" w:hAnsi="Arial"/>
      <w:b/>
      <w:bCs/>
      <w:sz w:val="20"/>
      <w:lang w:val="hr-HR" w:eastAsia="hr-HR"/>
    </w:rPr>
  </w:style>
  <w:style w:type="paragraph" w:customStyle="1" w:styleId="StyleHeading3LatinArial11pt">
    <w:name w:val="Style Heading 3 + (Latin) Arial 11 pt"/>
    <w:basedOn w:val="Heading3"/>
    <w:rsid w:val="00F85CD6"/>
    <w:pPr>
      <w:numPr>
        <w:ilvl w:val="2"/>
      </w:numPr>
      <w:tabs>
        <w:tab w:val="num" w:pos="720"/>
      </w:tabs>
      <w:ind w:left="720" w:hanging="720"/>
    </w:pPr>
    <w:rPr>
      <w:rFonts w:ascii="Arial" w:hAnsi="Arial"/>
      <w:bCs w:val="0"/>
      <w:iCs/>
      <w:sz w:val="22"/>
    </w:rPr>
  </w:style>
  <w:style w:type="character" w:styleId="Hyperlink">
    <w:name w:val="Hyperlink"/>
    <w:basedOn w:val="DefaultParagraphFont"/>
    <w:rsid w:val="00C13D88"/>
    <w:rPr>
      <w:color w:val="0000FF"/>
      <w:u w:val="single"/>
    </w:rPr>
  </w:style>
  <w:style w:type="character" w:styleId="FollowedHyperlink">
    <w:name w:val="FollowedHyperlink"/>
    <w:basedOn w:val="DefaultParagraphFont"/>
    <w:rsid w:val="00640CB6"/>
    <w:rPr>
      <w:color w:val="800080"/>
      <w:u w:val="single"/>
    </w:rPr>
  </w:style>
  <w:style w:type="paragraph" w:customStyle="1" w:styleId="Default">
    <w:name w:val="Default"/>
    <w:rsid w:val="00640CB6"/>
    <w:pPr>
      <w:widowControl w:val="0"/>
      <w:autoSpaceDE w:val="0"/>
      <w:autoSpaceDN w:val="0"/>
      <w:adjustRightInd w:val="0"/>
    </w:pPr>
    <w:rPr>
      <w:rFonts w:ascii="Times" w:eastAsia="SimSun" w:hAnsi="Times" w:cs="Times"/>
      <w:color w:val="000000"/>
      <w:sz w:val="24"/>
      <w:szCs w:val="24"/>
      <w:lang w:val="en-US" w:eastAsia="zh-CN"/>
    </w:rPr>
  </w:style>
  <w:style w:type="paragraph" w:customStyle="1" w:styleId="txt">
    <w:name w:val="txt"/>
    <w:basedOn w:val="Normal"/>
    <w:rsid w:val="00640CB6"/>
    <w:pPr>
      <w:spacing w:before="100" w:beforeAutospacing="1" w:after="100" w:afterAutospacing="1"/>
      <w:jc w:val="both"/>
    </w:pPr>
    <w:rPr>
      <w:rFonts w:ascii="Franklin Gothic Medium" w:hAnsi="Franklin Gothic Medium"/>
      <w:color w:val="000066"/>
      <w:sz w:val="20"/>
      <w:lang w:val="hr-HR" w:eastAsia="hr-HR"/>
    </w:rPr>
  </w:style>
  <w:style w:type="character" w:customStyle="1" w:styleId="style11">
    <w:name w:val="style11"/>
    <w:basedOn w:val="DefaultParagraphFont"/>
    <w:rsid w:val="00640CB6"/>
    <w:rPr>
      <w:color w:val="FFFFFF"/>
    </w:rPr>
  </w:style>
  <w:style w:type="character" w:customStyle="1" w:styleId="txt1">
    <w:name w:val="txt1"/>
    <w:basedOn w:val="DefaultParagraphFont"/>
    <w:rsid w:val="00640CB6"/>
    <w:rPr>
      <w:rFonts w:ascii="Franklin Gothic Medium" w:hAnsi="Franklin Gothic Medium" w:hint="default"/>
      <w:b w:val="0"/>
      <w:bCs w:val="0"/>
      <w:i w:val="0"/>
      <w:iCs w:val="0"/>
      <w:caps w:val="0"/>
      <w:smallCaps w:val="0"/>
      <w:color w:val="000066"/>
      <w:spacing w:val="0"/>
      <w:sz w:val="20"/>
      <w:szCs w:val="20"/>
    </w:rPr>
  </w:style>
  <w:style w:type="character" w:customStyle="1" w:styleId="apple-style-span">
    <w:name w:val="apple-style-span"/>
    <w:basedOn w:val="DefaultParagraphFont"/>
    <w:rsid w:val="00BE104D"/>
  </w:style>
  <w:style w:type="paragraph" w:styleId="BalloonText">
    <w:name w:val="Balloon Text"/>
    <w:basedOn w:val="Normal"/>
    <w:semiHidden/>
    <w:rsid w:val="00A81A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50242"/>
    <w:rPr>
      <w:b/>
      <w:bCs/>
    </w:rPr>
  </w:style>
  <w:style w:type="character" w:customStyle="1" w:styleId="apple-converted-space">
    <w:name w:val="apple-converted-space"/>
    <w:basedOn w:val="DefaultParagraphFont"/>
    <w:rsid w:val="00650242"/>
  </w:style>
  <w:style w:type="paragraph" w:customStyle="1" w:styleId="Normal2">
    <w:name w:val="Normal 2"/>
    <w:basedOn w:val="Normal"/>
    <w:rsid w:val="0027590D"/>
    <w:pPr>
      <w:tabs>
        <w:tab w:val="left" w:pos="284"/>
        <w:tab w:val="left" w:pos="567"/>
        <w:tab w:val="left" w:pos="851"/>
        <w:tab w:val="left" w:pos="1134"/>
        <w:tab w:val="left" w:pos="2835"/>
        <w:tab w:val="left" w:pos="5670"/>
        <w:tab w:val="right" w:pos="9072"/>
      </w:tabs>
      <w:jc w:val="both"/>
    </w:pPr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A70BFB"/>
    <w:pPr>
      <w:ind w:left="708"/>
    </w:pPr>
  </w:style>
  <w:style w:type="character" w:customStyle="1" w:styleId="FooterChar">
    <w:name w:val="Footer Char"/>
    <w:basedOn w:val="DefaultParagraphFont"/>
    <w:link w:val="Footer"/>
    <w:locked/>
    <w:rsid w:val="004B7384"/>
    <w:rPr>
      <w:rFonts w:ascii="CC-Palatino" w:hAnsi="CC-Palatino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56438"/>
    <w:rPr>
      <w:rFonts w:ascii="Arial" w:hAnsi="Arial" w:cs="Arial"/>
      <w:iCs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614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95">
              <w:marLeft w:val="0"/>
              <w:marRight w:val="0"/>
              <w:marTop w:val="1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015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4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4705271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866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3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295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752">
              <w:marLeft w:val="0"/>
              <w:marRight w:val="0"/>
              <w:marTop w:val="10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9038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7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8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67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301845">
                  <w:marLeft w:val="0"/>
                  <w:marRight w:val="0"/>
                  <w:marTop w:val="0"/>
                  <w:marBottom w:val="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4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5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5A37-1B06-4D1C-B60F-32DBFE67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3161</Words>
  <Characters>18020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The environmental permit contains the following:</vt:lpstr>
      <vt:lpstr>The environmental permit contains the following:</vt:lpstr>
    </vt:vector>
  </TitlesOfParts>
  <Company>HEIS</Company>
  <LinksUpToDate>false</LinksUpToDate>
  <CharactersWithSpaces>21139</CharactersWithSpaces>
  <SharedDoc>false</SharedDoc>
  <HLinks>
    <vt:vector size="6" baseType="variant">
      <vt:variant>
        <vt:i4>3276879</vt:i4>
      </vt:variant>
      <vt:variant>
        <vt:i4>2</vt:i4>
      </vt:variant>
      <vt:variant>
        <vt:i4>0</vt:i4>
      </vt:variant>
      <vt:variant>
        <vt:i4>5</vt:i4>
      </vt:variant>
      <vt:variant>
        <vt:lpwstr>mailto:fmoits@bih.net.ba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environmental permit contains the following:</dc:title>
  <dc:creator>Irem</dc:creator>
  <cp:lastModifiedBy>Mirjana</cp:lastModifiedBy>
  <cp:revision>3</cp:revision>
  <cp:lastPrinted>2014-09-08T08:03:00Z</cp:lastPrinted>
  <dcterms:created xsi:type="dcterms:W3CDTF">2020-10-21T11:53:00Z</dcterms:created>
  <dcterms:modified xsi:type="dcterms:W3CDTF">2020-10-21T12:03:00Z</dcterms:modified>
</cp:coreProperties>
</file>