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F3" w:rsidRPr="00144185" w:rsidRDefault="002A1AF3" w:rsidP="002A1AF3">
      <w:pPr>
        <w:pStyle w:val="BodyText3"/>
        <w:jc w:val="center"/>
        <w:rPr>
          <w:rFonts w:ascii="Arial" w:eastAsiaTheme="minorHAnsi" w:hAnsi="Arial" w:cs="Arial"/>
          <w:b/>
          <w:noProof/>
          <w:color w:val="000000" w:themeColor="text1"/>
          <w:szCs w:val="24"/>
          <w:lang w:val="bs-Latn-BA"/>
        </w:rPr>
      </w:pPr>
      <w:bookmarkStart w:id="0" w:name="_GoBack"/>
      <w:bookmarkEnd w:id="0"/>
      <w:r w:rsidRPr="00144185">
        <w:rPr>
          <w:rFonts w:ascii="Arial" w:eastAsiaTheme="minorHAnsi" w:hAnsi="Arial" w:cs="Arial"/>
          <w:b/>
          <w:noProof/>
          <w:color w:val="000000" w:themeColor="text1"/>
          <w:szCs w:val="24"/>
          <w:lang w:val="bs-Latn-BA"/>
        </w:rPr>
        <w:t>PRILOG II.</w:t>
      </w:r>
    </w:p>
    <w:p w:rsidR="002A1AF3" w:rsidRPr="00144185" w:rsidRDefault="002A1AF3" w:rsidP="002A1AF3">
      <w:pPr>
        <w:pStyle w:val="BodyText3"/>
        <w:jc w:val="center"/>
        <w:rPr>
          <w:rFonts w:ascii="Arial" w:eastAsiaTheme="minorHAnsi" w:hAnsi="Arial" w:cs="Arial"/>
          <w:b/>
          <w:noProof/>
          <w:color w:val="000000" w:themeColor="text1"/>
          <w:szCs w:val="24"/>
          <w:lang w:val="bs-Latn-BA"/>
        </w:rPr>
      </w:pPr>
    </w:p>
    <w:p w:rsidR="002A1AF3" w:rsidRPr="00144185" w:rsidRDefault="002A1AF3" w:rsidP="002A1AF3">
      <w:pPr>
        <w:pStyle w:val="BodyText3"/>
        <w:jc w:val="center"/>
        <w:rPr>
          <w:rFonts w:ascii="Arial" w:eastAsiaTheme="minorHAnsi" w:hAnsi="Arial" w:cs="Arial"/>
          <w:b/>
          <w:noProof/>
          <w:color w:val="000000" w:themeColor="text1"/>
          <w:szCs w:val="24"/>
          <w:lang w:val="bs-Latn-BA"/>
        </w:rPr>
      </w:pPr>
      <w:r w:rsidRPr="00144185">
        <w:rPr>
          <w:rFonts w:ascii="Arial" w:eastAsiaTheme="minorHAnsi" w:hAnsi="Arial" w:cs="Arial"/>
          <w:b/>
          <w:noProof/>
          <w:color w:val="000000" w:themeColor="text1"/>
          <w:szCs w:val="24"/>
          <w:lang w:val="bs-Latn-BA"/>
        </w:rPr>
        <w:t>Lista pogona i postrojenja za koje kantonalno ministarstvo izdaje okolinsku dozvolu</w:t>
      </w:r>
    </w:p>
    <w:p w:rsidR="002A1AF3" w:rsidRPr="00144185" w:rsidRDefault="002A1AF3" w:rsidP="002A1AF3">
      <w:pPr>
        <w:pStyle w:val="BodyText3"/>
        <w:rPr>
          <w:rFonts w:ascii="Arial" w:hAnsi="Arial" w:cs="Arial"/>
          <w:color w:val="000000" w:themeColor="text1"/>
          <w:szCs w:val="24"/>
          <w:lang w:val="bs-Latn-BA"/>
        </w:rPr>
      </w:pPr>
    </w:p>
    <w:p w:rsidR="002A1AF3" w:rsidRPr="00144185" w:rsidRDefault="002A1AF3" w:rsidP="002A1AF3">
      <w:pPr>
        <w:pStyle w:val="BodyText3"/>
        <w:rPr>
          <w:rFonts w:ascii="Arial" w:eastAsiaTheme="minorHAnsi" w:hAnsi="Arial" w:cs="Arial"/>
          <w:noProof/>
          <w:color w:val="000000" w:themeColor="text1"/>
          <w:szCs w:val="24"/>
          <w:lang w:val="bs-Latn-BA"/>
        </w:rPr>
      </w:pPr>
      <w:r w:rsidRPr="00144185">
        <w:rPr>
          <w:rFonts w:ascii="Arial" w:eastAsiaTheme="minorHAnsi" w:hAnsi="Arial" w:cs="Arial"/>
          <w:noProof/>
          <w:color w:val="000000" w:themeColor="text1"/>
          <w:szCs w:val="24"/>
          <w:lang w:val="bs-Latn-BA"/>
        </w:rPr>
        <w:t xml:space="preserve">Pogoni i postrojenja za koje kantonalno ministarstvo izdaje okolinsku dozvolu su: </w:t>
      </w:r>
    </w:p>
    <w:p w:rsidR="002A1AF3" w:rsidRPr="00144185" w:rsidRDefault="002A1AF3" w:rsidP="002A1AF3">
      <w:pPr>
        <w:pStyle w:val="BodyText3"/>
        <w:ind w:firstLine="360"/>
        <w:rPr>
          <w:rFonts w:ascii="Arial" w:eastAsiaTheme="minorHAnsi" w:hAnsi="Arial" w:cs="Arial"/>
          <w:b/>
          <w:noProof/>
          <w:color w:val="000000" w:themeColor="text1"/>
          <w:szCs w:val="24"/>
          <w:lang w:val="bs-Latn-BA"/>
        </w:rPr>
      </w:pP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1. Energetika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1.1. Sagorijevanje goriva u postrojenjima ukupne nazivne ulazne toplotne snage 10 MW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bs-Latn-BA"/>
        </w:rPr>
        <w:t>th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do 100 MW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vertAlign w:val="subscript"/>
          <w:lang w:val="bs-Latn-BA"/>
        </w:rPr>
        <w:t xml:space="preserve"> th.</w:t>
      </w:r>
    </w:p>
    <w:p w:rsidR="002A1AF3" w:rsidRPr="00144185" w:rsidRDefault="002A1AF3" w:rsidP="002A1AF3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2A1AF3" w:rsidRPr="00144185" w:rsidRDefault="002A1AF3" w:rsidP="002A1AF3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2. Proizvodnja i prerada metala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2.1. Proizvodnja sirovog željeza ili čelika (primarno ili sekundarno topljenje), uključujući NPrekidno lijevanje, kapaciteta većeg od 2,5 do 5 tona na sat .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2.2. Prerada neobojenih metala: </w:t>
      </w:r>
    </w:p>
    <w:p w:rsidR="002A1AF3" w:rsidRPr="00144185" w:rsidRDefault="002A1AF3" w:rsidP="002A1A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tople valjaonice kapaciteta većeg od 20 do 30 tona sirovog čelika na sat; </w:t>
      </w:r>
    </w:p>
    <w:p w:rsidR="002A1AF3" w:rsidRPr="00144185" w:rsidRDefault="002A1AF3" w:rsidP="002A1A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kovačnice s čekićima čija energija prelazi 50 kJ po čekiću, pri čemu je upotrijebljena toplotna snaga toplotnog sagorijevanja od 20 do 50 MW;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2.3. Prerada obojenih metala: </w:t>
      </w:r>
    </w:p>
    <w:p w:rsidR="002A1AF3" w:rsidRPr="00144185" w:rsidRDefault="002A1AF3" w:rsidP="002A1A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topljenje, uključujući i legiranje obojenih metala, uključujući revitalizirane proizvode i lijevanje u topionicama obojenih metala, kapaciteta topljenja od 4 do 6 tona na dan za olovo i kadmij ili od 20 do 30 tona na dan za sve druge metale.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2.4. Površinska obrada metala ili plastičnih materijala u kojima se primjenjuje elektrolitski ili hemijski postupak, s kadama za obradu zapremine od 20 do 30 m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bs-Latn-BA"/>
        </w:rPr>
        <w:t>3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3. Industrija minerala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3.1. Proizvodnja cementa, vapna i magnezijevog oksida: </w:t>
      </w:r>
    </w:p>
    <w:p w:rsidR="002A1AF3" w:rsidRPr="00144185" w:rsidRDefault="002A1AF3" w:rsidP="002A1A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proizvodnja cementnog klinkera u rotacijskim pećima proizvodnog kapaciteta 400 do 500 tona na dan ili u drugim pećima proizvodnog kapaciteta od 40 do 50 tona na dan; </w:t>
      </w:r>
    </w:p>
    <w:p w:rsidR="002A1AF3" w:rsidRPr="00144185" w:rsidRDefault="002A1AF3" w:rsidP="002A1A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proizvodnja kreča u pećima proizvodnog kapaciteta od 50 do 100 tona na dan; </w:t>
      </w:r>
    </w:p>
    <w:p w:rsidR="002A1AF3" w:rsidRPr="00144185" w:rsidRDefault="002A1AF3" w:rsidP="002A1A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proizvodnja magnezijevog oksida u pećima proizvodnog kapaciteta od 50 do 80 tona na dan.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3.3. Proizvodnja stakla, uključujući staklena vlakna, kapaciteta topljenja od 20 do 50 tona na dan.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3.4. Topljenje mineralnih supstanci, uključujući proizvodnju mineralnih vlakana, kapaciteta topljenja od 20 do 50 tona na dan.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3.5. Izrada keramičkih proizvoda pečenjem, posebno crjepova, opeke, vatrostalne opeke, pločica, kamenine ili porculana, proizvodnog kapaciteta od 75 do 100 tona na dan i/ili kapaciteta peći od 4 do 5 m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bs-Latn-BA"/>
        </w:rPr>
        <w:t>3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i gustoće stvrdnjavanja veće od 300 kg/m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bs-Latn-BA"/>
        </w:rPr>
        <w:t>3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po peći.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4. Upravljanje otpadom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4.1. Zbrinjavanje ili iskorištavanje opasnog otpada kapaciteta od 10 do 20 tona na dan, uključujući jedan ili više sljedećih postupaka: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lastRenderedPageBreak/>
        <w:t xml:space="preserve">biološka obrada;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fizikalno-hemijska obrada;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usitnjavanje ili miješanje prije primjene bilo kojeg drugog postupka navedenog u tačkama 4.1. i 4.2.;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prepakiranje prije primjene bilo kojeg drugog postupka navedenog u tačkama 4.1. i 4.2.;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obnavljanje/regeneracija otpadnih otapala (rastvarača);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recikliranje/obnavljanje otpadnih anorganskih materijala osim metala i spojeva metala;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regeneracija otpadnih kiselina ili lužina;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revitalizacija/ponovna upotreba otpadnih sastojaka koji se koriste za smanjivanje onečišćenja; 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revitalizacija otpadnih sastojaka iz katalizatora;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ponovna prerada otpadnih ulja ili drugi načini ponovne upotrebe otpadnih ulja;</w:t>
      </w:r>
    </w:p>
    <w:p w:rsidR="002A1AF3" w:rsidRPr="00144185" w:rsidRDefault="002A1AF3" w:rsidP="002A1A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istakanje površinskih bazena.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4.2. Zbrinjavanje ili iskorištavanje otpada u postrojenjima za spaljivanje otpada ili u postrojenjima za suspaljivanje otpada: </w:t>
      </w:r>
    </w:p>
    <w:p w:rsidR="002A1AF3" w:rsidRPr="00144185" w:rsidRDefault="002A1AF3" w:rsidP="002A1A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za neopasni otpad, kapaciteta od 3 do 5 tone na sat; </w:t>
      </w:r>
    </w:p>
    <w:p w:rsidR="002A1AF3" w:rsidRPr="00144185" w:rsidRDefault="002A1AF3" w:rsidP="002A1A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za opasni otpad, kapaciteta od 10 do 20 tona na dan.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4.3. Zbrinjavanje neopasnog otpada</w:t>
      </w:r>
    </w:p>
    <w:p w:rsidR="002A1AF3" w:rsidRPr="00144185" w:rsidRDefault="002A1AF3" w:rsidP="002A1A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Zbrinjavanje neopasnog otpada kapaciteta od 50 do 100 tona na dan uključujući jedan ili više postupaka i isključujući postupke o pročišćavanju komunalnih otpadnih voda: </w:t>
      </w:r>
    </w:p>
    <w:p w:rsidR="002A1AF3" w:rsidRPr="00144185" w:rsidRDefault="002A1AF3" w:rsidP="002A1A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biološka obrada; </w:t>
      </w:r>
    </w:p>
    <w:p w:rsidR="002A1AF3" w:rsidRPr="00144185" w:rsidRDefault="002A1AF3" w:rsidP="002A1A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fizikalno-hemijska obrada; </w:t>
      </w:r>
    </w:p>
    <w:p w:rsidR="002A1AF3" w:rsidRPr="00144185" w:rsidRDefault="002A1AF3" w:rsidP="002A1A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prethodna obrada otpada za spaljivanje ili suspaljivanje; </w:t>
      </w:r>
    </w:p>
    <w:p w:rsidR="002A1AF3" w:rsidRPr="00144185" w:rsidRDefault="002A1AF3" w:rsidP="002A1A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obrada šljake i pepela; </w:t>
      </w:r>
    </w:p>
    <w:p w:rsidR="002A1AF3" w:rsidRPr="00144185" w:rsidRDefault="002A1AF3" w:rsidP="002A1A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obrada u drobilicama metalnog otpada, uključujući otpadnu električnu i elektronsku opremu i otpadna vozila i njihove dijelove. </w:t>
      </w:r>
    </w:p>
    <w:p w:rsidR="002A1AF3" w:rsidRPr="00144185" w:rsidRDefault="002A1AF3" w:rsidP="002A1A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Iskorištavanje ili spoj iskorištavanja i zbrinjavanja neopasnog otpada kapaciteta od 75 do 100 tona po danu uključujući jedan ili više sljedećih postupaka: </w:t>
      </w:r>
    </w:p>
    <w:p w:rsidR="002A1AF3" w:rsidRPr="00144185" w:rsidRDefault="002A1AF3" w:rsidP="002A1A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biološka obrada; </w:t>
      </w:r>
    </w:p>
    <w:p w:rsidR="002A1AF3" w:rsidRPr="00144185" w:rsidRDefault="002A1AF3" w:rsidP="002A1A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prethodna obrada otpada za spaljivanje ili suspaljivanje; </w:t>
      </w:r>
    </w:p>
    <w:p w:rsidR="002A1AF3" w:rsidRPr="00144185" w:rsidRDefault="002A1AF3" w:rsidP="002A1A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obrada šljake i pepela; </w:t>
      </w:r>
    </w:p>
    <w:p w:rsidR="002A1AF3" w:rsidRPr="00144185" w:rsidRDefault="002A1AF3" w:rsidP="002A1A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obrada u drobilicama metalnog otpada, uključujući otpadnu električnu i elektronsku opremu i otpadna vozila i njihove dijelove. </w:t>
      </w:r>
    </w:p>
    <w:p w:rsidR="002A1AF3" w:rsidRPr="00144185" w:rsidRDefault="002A1AF3" w:rsidP="002A1AF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Ako je jedini postupak obrade otpada anaerobna razgradnja, prag kapaciteta za ovaj postupak iznosi 100 tona na dan. </w:t>
      </w:r>
    </w:p>
    <w:p w:rsidR="00A167DC" w:rsidRDefault="002A1AF3" w:rsidP="002A1AF3"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4.4. Odlagališta otpada na koja se odlaže od 10 do 30 tona otpada na dan ili imaju ukupni kapacitet od 25.000 do 40.000 tona, osim odlagališta inertnog otpada.</w:t>
      </w:r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199"/>
    <w:multiLevelType w:val="hybridMultilevel"/>
    <w:tmpl w:val="9D3A4150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30CB9"/>
    <w:multiLevelType w:val="hybridMultilevel"/>
    <w:tmpl w:val="EFAE9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542B"/>
    <w:multiLevelType w:val="hybridMultilevel"/>
    <w:tmpl w:val="84345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3174"/>
    <w:multiLevelType w:val="hybridMultilevel"/>
    <w:tmpl w:val="617C4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20300"/>
    <w:multiLevelType w:val="hybridMultilevel"/>
    <w:tmpl w:val="A1ACC2D6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250BD"/>
    <w:multiLevelType w:val="hybridMultilevel"/>
    <w:tmpl w:val="6CCAF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724"/>
    <w:multiLevelType w:val="hybridMultilevel"/>
    <w:tmpl w:val="D7A8E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D2E37"/>
    <w:multiLevelType w:val="hybridMultilevel"/>
    <w:tmpl w:val="87A4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F3"/>
    <w:rsid w:val="00214F94"/>
    <w:rsid w:val="002A1AF3"/>
    <w:rsid w:val="005B33F9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C9C1-B05B-4E98-8097-B287E39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F3"/>
    <w:pPr>
      <w:ind w:left="720"/>
      <w:contextualSpacing/>
    </w:pPr>
  </w:style>
  <w:style w:type="paragraph" w:styleId="BodyText3">
    <w:name w:val="Body Text 3"/>
    <w:basedOn w:val="Normal"/>
    <w:link w:val="BodyText3Char"/>
    <w:rsid w:val="002A1A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A1A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dcterms:created xsi:type="dcterms:W3CDTF">2021-08-26T07:51:00Z</dcterms:created>
  <dcterms:modified xsi:type="dcterms:W3CDTF">2021-08-26T07:51:00Z</dcterms:modified>
</cp:coreProperties>
</file>