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82" w:rsidRPr="00AC175C" w:rsidRDefault="004C1F82" w:rsidP="004C1F82">
      <w:pPr>
        <w:pStyle w:val="BodyText3"/>
        <w:jc w:val="center"/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</w:pPr>
      <w:r w:rsidRPr="00AC175C"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  <w:t>PRILOG I.</w:t>
      </w:r>
    </w:p>
    <w:p w:rsidR="004C1F82" w:rsidRPr="00AC175C" w:rsidRDefault="004C1F82" w:rsidP="004C1F82">
      <w:pPr>
        <w:pStyle w:val="BodyText3"/>
        <w:jc w:val="center"/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</w:pPr>
    </w:p>
    <w:p w:rsidR="004C1F82" w:rsidRPr="00AC175C" w:rsidRDefault="004C1F82" w:rsidP="004C1F82">
      <w:pPr>
        <w:pStyle w:val="BodyText3"/>
        <w:jc w:val="center"/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</w:pPr>
      <w:r w:rsidRPr="00AC175C"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  <w:t>Lista pogona i postrojenja za koje Federalno ministarstvo izdaje okolinsku dozvolu</w:t>
      </w:r>
    </w:p>
    <w:p w:rsidR="004C1F82" w:rsidRPr="00AC175C" w:rsidRDefault="004C1F82" w:rsidP="004C1F82">
      <w:pPr>
        <w:pStyle w:val="BodyText3"/>
        <w:rPr>
          <w:rFonts w:ascii="Arial" w:hAnsi="Arial" w:cs="Arial"/>
          <w:color w:val="000000" w:themeColor="text1"/>
          <w:szCs w:val="24"/>
          <w:lang w:val="bs-Latn-BA"/>
        </w:rPr>
      </w:pPr>
    </w:p>
    <w:p w:rsidR="004C1F82" w:rsidRPr="00AC175C" w:rsidRDefault="004C1F82" w:rsidP="004C1F82">
      <w:pPr>
        <w:pStyle w:val="BodyText3"/>
        <w:rPr>
          <w:rFonts w:ascii="Arial" w:eastAsiaTheme="minorHAnsi" w:hAnsi="Arial" w:cs="Arial"/>
          <w:noProof/>
          <w:color w:val="000000" w:themeColor="text1"/>
          <w:szCs w:val="24"/>
          <w:lang w:val="bs-Latn-BA"/>
        </w:rPr>
      </w:pPr>
      <w:r w:rsidRPr="00AC175C">
        <w:rPr>
          <w:rFonts w:ascii="Arial" w:eastAsiaTheme="minorHAnsi" w:hAnsi="Arial" w:cs="Arial"/>
          <w:noProof/>
          <w:color w:val="000000" w:themeColor="text1"/>
          <w:szCs w:val="24"/>
          <w:lang w:val="bs-Latn-BA"/>
        </w:rPr>
        <w:t xml:space="preserve">Pogoni i postrojenja za koje Federalno ministarstvo izdaje okolinsku dozvolu po djelatnostima su: </w:t>
      </w:r>
    </w:p>
    <w:p w:rsidR="004C1F82" w:rsidRPr="00AC175C" w:rsidRDefault="004C1F82" w:rsidP="004C1F82">
      <w:pPr>
        <w:pStyle w:val="BodyText3"/>
        <w:ind w:firstLine="360"/>
        <w:rPr>
          <w:rFonts w:ascii="Arial" w:eastAsiaTheme="minorHAnsi" w:hAnsi="Arial" w:cs="Arial"/>
          <w:b/>
          <w:noProof/>
          <w:color w:val="000000" w:themeColor="text1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Energetika </w:t>
      </w: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>Sagorijevanje goriva u postrojenjima ukupne nazivne ulazne toplotne snage više od 100 MW</w:t>
      </w:r>
      <w:r w:rsidRPr="00F955DE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th</w:t>
      </w: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Rafiniranje mineralnih ulja i gasa </w:t>
      </w: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koksa </w:t>
      </w: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Uplinjavanje ili ukapljivanje: </w:t>
      </w:r>
    </w:p>
    <w:p w:rsidR="004C1F82" w:rsidRDefault="004C1F82" w:rsidP="004C1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uglja (gasifikacija uglja); </w:t>
      </w:r>
    </w:p>
    <w:p w:rsidR="004C1F82" w:rsidRPr="00F955DE" w:rsidRDefault="004C1F82" w:rsidP="004C1F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drugih goriva iz uglja u postrojenjima ukupne nazivne ulazne toplotne snage 20 MW ili više. </w:t>
      </w:r>
    </w:p>
    <w:p w:rsidR="004C1F82" w:rsidRPr="00AC175C" w:rsidRDefault="004C1F82" w:rsidP="004C1F82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Proizvodnja i prerada metala </w:t>
      </w: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>Prženje i sinteriranje metalnih ru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da (uključujući sulfidne rude)</w:t>
      </w: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>Proizvodnja sirovog željeza ili čelika (primarno ili sekundarno topljenje), uključujući neprekidno lijevanje, sa kapacitetom većim od 5 tona na sat.</w:t>
      </w: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Prerada crnih (neobojenih) metala: </w:t>
      </w:r>
    </w:p>
    <w:p w:rsidR="004C1F82" w:rsidRDefault="004C1F82" w:rsidP="004C1F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tople valjaonice kapaciteta većeg od 30 tona sirovog čelika na sat; </w:t>
      </w:r>
    </w:p>
    <w:p w:rsidR="004C1F82" w:rsidRPr="0095453F" w:rsidRDefault="004C1F82" w:rsidP="004C1F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kovačnice s čekićima čija energija prelazi 50 kJ po čekiću, pri čemu </w:t>
      </w:r>
      <w:r w:rsidRPr="0095453F">
        <w:rPr>
          <w:rFonts w:ascii="Arial" w:hAnsi="Arial" w:cs="Arial"/>
          <w:noProof/>
          <w:sz w:val="24"/>
          <w:szCs w:val="24"/>
          <w:lang w:val="bs-Latn-BA"/>
        </w:rPr>
        <w:t xml:space="preserve">upotrijebljena </w:t>
      </w:r>
      <w:r w:rsidRPr="0095453F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toplotna snaga prelazi 50 MW; </w:t>
      </w:r>
    </w:p>
    <w:p w:rsidR="004C1F82" w:rsidRDefault="004C1F82" w:rsidP="004C1F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nanošenje zaštitnih prevlaka od staljenih metala, ulaznog kapaciteta većeg od 2 tone sirovog čelika na sat. </w:t>
      </w:r>
    </w:p>
    <w:p w:rsidR="004C1F82" w:rsidRPr="00F955DE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Ljevaonice crnih (neobojenih) metala, proizvodnog kapaciteta većeg od 20 tona na dan. </w:t>
      </w:r>
    </w:p>
    <w:p w:rsidR="004C1F82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F955DE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Prerada obojenih metala: </w:t>
      </w:r>
    </w:p>
    <w:p w:rsidR="004C1F82" w:rsidRPr="00AC175C" w:rsidRDefault="004C1F82" w:rsidP="004C1F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proizvodnja sirovih obojenih metala iz ruda, koncentrata ili sekundarnih sirovina primjenom metalurških, hemijskih ili elektrolitskih postupaka; </w:t>
      </w:r>
    </w:p>
    <w:p w:rsidR="004C1F82" w:rsidRDefault="004C1F82" w:rsidP="004C1F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topljenje, uključujući i legiranje obojenih metala, uključujući revitalizirane proizvode i lijevanje u topionicama obojenih metala, kapaciteta topljenja većeg od 6 tona na dan za olovo i kadmij ili većeg od 30 tona na dan za sve druge metale. </w:t>
      </w:r>
    </w:p>
    <w:p w:rsidR="004C1F82" w:rsidRPr="00AC175C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Površinska obrada metala ili plastičnih materijala u kojima se primjenjuje elektrolitski ili hemijski postupak, s kadama za obradu zapremine veće od 30 m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perscript"/>
        </w:rPr>
        <w:t>3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. </w:t>
      </w:r>
    </w:p>
    <w:p w:rsidR="004C1F82" w:rsidRPr="00AC175C" w:rsidRDefault="004C1F82" w:rsidP="004C1F82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b/>
          <w:noProof/>
          <w:color w:val="000000" w:themeColor="text1"/>
          <w:sz w:val="24"/>
          <w:szCs w:val="24"/>
        </w:rPr>
        <w:t>Industrija minerala</w:t>
      </w: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cementa, vapna i magnezijevog oksida: </w:t>
      </w:r>
    </w:p>
    <w:p w:rsidR="004C1F82" w:rsidRPr="00AC175C" w:rsidRDefault="004C1F82" w:rsidP="004C1F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lastRenderedPageBreak/>
        <w:t xml:space="preserve">proizvodnja cementnog klinkera u rotacijskim pećima proizvodnog kapaciteta većeg od 500 tona na dan ili u drugim pećima proizvodnog kapaciteta većeg od 50 tona na dan; </w:t>
      </w:r>
    </w:p>
    <w:p w:rsidR="004C1F82" w:rsidRPr="00AC175C" w:rsidRDefault="004C1F82" w:rsidP="004C1F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proizvodnja kreča u pećima proizvodnog kapaciteta većeg od 100 tona na dan; </w:t>
      </w:r>
    </w:p>
    <w:p w:rsidR="004C1F82" w:rsidRDefault="004C1F82" w:rsidP="004C1F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proizvodnja magnezijevog oksida u pećima proizvodnog kapaciteta većeg od 80 tona na dan. </w:t>
      </w:r>
    </w:p>
    <w:p w:rsidR="004C1F82" w:rsidRPr="00AC175C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azbesta ili izrada proizvoda na bazi azbesta. </w:t>
      </w:r>
    </w:p>
    <w:p w:rsidR="004C1F82" w:rsidRPr="00AC175C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02951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stakla, uključujući staklena vlakna, kapaciteta topljenja većeg od 50 tona na dan. 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Topljenje mineralnih supstanci, uključujući proizvodnju mineralnih vlakana, kapaciteta topljenja većeg od 50 tona na dan. 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Izrada keramičkih proizvoda pečenjem, posebno crjepova, opeke, vatrostalne opeke, pločica, kamenine ili porculana, proizvodnog kapaciteta većeg od 100 tona na dan i/ili kapaciteta peći većeg od 5 m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perscript"/>
        </w:rPr>
        <w:t>3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i gustoće stvrdnjavanja veće od 300 kg/m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perscript"/>
        </w:rPr>
        <w:t>3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po peći. </w:t>
      </w:r>
    </w:p>
    <w:p w:rsidR="004C1F82" w:rsidRPr="00AC175C" w:rsidRDefault="004C1F82" w:rsidP="004C1F82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Hemijska industrija </w:t>
      </w:r>
    </w:p>
    <w:p w:rsidR="004C1F82" w:rsidRPr="00AC175C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u smislu kategorija djelatnosti sadržanih u tački 4. odnosi se na industrijski razmjer proizvodnje supstance </w:t>
      </w:r>
      <w:r w:rsidRPr="006F7464">
        <w:rPr>
          <w:rFonts w:ascii="Arial" w:hAnsi="Arial" w:cs="Arial"/>
          <w:noProof/>
          <w:color w:val="000000" w:themeColor="text1"/>
          <w:sz w:val="24"/>
          <w:szCs w:val="24"/>
        </w:rPr>
        <w:t xml:space="preserve">ili </w:t>
      </w:r>
      <w:r w:rsidRPr="006F7464">
        <w:rPr>
          <w:rFonts w:ascii="Arial" w:hAnsi="Arial" w:cs="Arial"/>
          <w:noProof/>
          <w:sz w:val="24"/>
          <w:szCs w:val="24"/>
        </w:rPr>
        <w:t xml:space="preserve">grupe </w:t>
      </w:r>
      <w:r w:rsidRPr="006F7464">
        <w:rPr>
          <w:rFonts w:ascii="Arial" w:hAnsi="Arial" w:cs="Arial"/>
          <w:noProof/>
          <w:color w:val="000000" w:themeColor="text1"/>
          <w:sz w:val="24"/>
          <w:szCs w:val="24"/>
        </w:rPr>
        <w:t>supstanc</w:t>
      </w:r>
      <w:r w:rsidRPr="006F7464">
        <w:rPr>
          <w:rFonts w:ascii="Arial" w:hAnsi="Arial" w:cs="Arial"/>
          <w:noProof/>
          <w:sz w:val="24"/>
          <w:szCs w:val="24"/>
        </w:rPr>
        <w:t xml:space="preserve">i </w:t>
      </w:r>
      <w:r w:rsidRPr="006F7464">
        <w:rPr>
          <w:rFonts w:ascii="Arial" w:hAnsi="Arial" w:cs="Arial"/>
          <w:noProof/>
          <w:color w:val="000000" w:themeColor="text1"/>
          <w:sz w:val="24"/>
          <w:szCs w:val="24"/>
        </w:rPr>
        <w:t>navedenih u tačkama od 4.1. do 4.6. u kojima se primjenjuje hemijska ili biološka obrada.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organskih hemikalija, kao što su: </w:t>
      </w:r>
    </w:p>
    <w:p w:rsidR="004C1F82" w:rsidRPr="00F955DE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955DE">
        <w:rPr>
          <w:rFonts w:ascii="Arial" w:hAnsi="Arial" w:cs="Arial"/>
          <w:noProof/>
          <w:color w:val="000000" w:themeColor="text1"/>
          <w:sz w:val="24"/>
          <w:szCs w:val="24"/>
        </w:rPr>
        <w:t xml:space="preserve">jednostavni (prosti) ugljikovodici (linearni ili ciklički, zasićeni ili nezasićeni, alifatski ili aromatski);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ugljikovodici koji sadrže kisik, kao što su alkohol, aldehidi, ketoni, karboksilne kiseline, esteri i pripravci estera, acetati, eteri, peroksidi, i epoksidne smole;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ugljovodonici koji sadrži sumpor;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ugljovodonici koji sadrže azot, kao što su amini, amidi, azotni spojevi, nitro-spojevi ili spojevi nitrata, nitrili, cijanati, izocijanati;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ugljikovodici koji sadrže fosfor;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halogeni ugljovodonici;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organometalni spojevi;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plastični materijali (polimeri, sintetska vlakna i vlakna na bazi celuloze);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sintetske gume; </w:t>
      </w:r>
    </w:p>
    <w:p w:rsidR="004C1F82" w:rsidRPr="00AC175C" w:rsidRDefault="004C1F82" w:rsidP="004C1F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boje i pigmenti; </w:t>
      </w:r>
    </w:p>
    <w:p w:rsidR="004C1F82" w:rsidRDefault="004C1F82" w:rsidP="004C1F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površinski aktivne supstance i surfaktanti (tenzidi).</w:t>
      </w:r>
    </w:p>
    <w:p w:rsidR="004C1F82" w:rsidRPr="00AC175C" w:rsidRDefault="004C1F82" w:rsidP="004C1F82">
      <w:pPr>
        <w:pStyle w:val="ListParagraph"/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neorganskih hemikalija, kao što su: </w:t>
      </w:r>
    </w:p>
    <w:p w:rsidR="004C1F82" w:rsidRPr="00AC175C" w:rsidRDefault="004C1F82" w:rsidP="004C1F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plinovi kao što su amonijak, hlor ili hlorovodonik, fluor i fluorovodonik, ugljen oksidi, sumporni spojevi, azotni oksidi, vodonik, sumporni dioksid, karbonil hlorid; </w:t>
      </w:r>
    </w:p>
    <w:p w:rsidR="004C1F82" w:rsidRPr="00AC175C" w:rsidRDefault="004C1F82" w:rsidP="004C1F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kiseline kao što su hromna kiselina, fluorovodična kiselina, fosforna kiselina, azotna kiselina,hlorovodična kiselina, sumporna kiselina, oleum, sumporasta kiselina;</w:t>
      </w:r>
    </w:p>
    <w:p w:rsidR="004C1F82" w:rsidRPr="00AC175C" w:rsidRDefault="004C1F82" w:rsidP="004C1F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lastRenderedPageBreak/>
        <w:t xml:space="preserve">baze kao što su amonijev hidroksid, kalijev hidroksid, natrijev hidroksid; </w:t>
      </w:r>
    </w:p>
    <w:p w:rsidR="004C1F82" w:rsidRPr="00AC175C" w:rsidRDefault="004C1F82" w:rsidP="004C1F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soli kao što su amonijev hlorid, kalijev hlorat, kalijev karbonat, natrijev karbonat, perborat, srebrni nitrat; </w:t>
      </w:r>
    </w:p>
    <w:p w:rsidR="004C1F82" w:rsidRDefault="004C1F82" w:rsidP="004C1F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nemetali, metalni oksidi ili drugi anorganski spojevi, kao što su kalcijev karbid, silicij, silicijev karbid.</w:t>
      </w:r>
    </w:p>
    <w:p w:rsidR="004C1F82" w:rsidRPr="00AC175C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Hemijska postrojenja za proizvodnju vještačkih gnojiva na bazi fosfora, azota ili kalija (jednostavna ili složena umjetna gnojiva).</w:t>
      </w:r>
    </w:p>
    <w:p w:rsidR="004C1F82" w:rsidRPr="00AC175C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Hemijska postrojenja za proizvodnju sredstava za zaštitu bilja ili biocida. 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Postrojenja za proizvodnju farmaceutskih proizvoda, uključujući intermedijarne proizvode (međuprodukte) primjenom hemijskih i bioloških procesa.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Hemijska postrojenja za proizvodnju eksploziva.</w:t>
      </w:r>
    </w:p>
    <w:p w:rsidR="004C1F82" w:rsidRPr="00AC175C" w:rsidRDefault="004C1F82" w:rsidP="004C1F82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Upravljanje otpadom </w:t>
      </w: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Zbrinjavanje ili iskorištavanje otpada u postrojenjima za spaljivanje otpada ili u postrojenjima za suspaljivanje otpada: </w:t>
      </w:r>
    </w:p>
    <w:p w:rsidR="004C1F82" w:rsidRPr="0095453F" w:rsidRDefault="004C1F82" w:rsidP="004C1F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za neopasni </w:t>
      </w:r>
      <w:r w:rsidRPr="0095453F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otpad, kapaciteta od 5 </w:t>
      </w:r>
      <w:r w:rsidRPr="0095453F">
        <w:rPr>
          <w:rFonts w:ascii="Arial" w:hAnsi="Arial" w:cs="Arial"/>
          <w:noProof/>
          <w:sz w:val="24"/>
          <w:szCs w:val="24"/>
          <w:lang w:val="bs-Latn-BA"/>
        </w:rPr>
        <w:t xml:space="preserve">tona </w:t>
      </w:r>
      <w:r w:rsidRPr="0095453F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na sat i većeg; </w:t>
      </w:r>
    </w:p>
    <w:p w:rsidR="004C1F82" w:rsidRDefault="004C1F82" w:rsidP="004C1F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za opasni otpad, kapaciteta većeg od 20 tona na dan. </w:t>
      </w:r>
    </w:p>
    <w:p w:rsidR="004C1F82" w:rsidRPr="00AC175C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Odlagališta otpada na koja se odlaže više od 100 tona otpada na dan osim odlagališta inertnog otpada. </w:t>
      </w:r>
    </w:p>
    <w:p w:rsidR="004C1F82" w:rsidRPr="00AC175C" w:rsidRDefault="004C1F82" w:rsidP="004C1F82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Druge djelatnosti </w:t>
      </w: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Industrijska postrojenja za proizvodnju: </w:t>
      </w:r>
    </w:p>
    <w:p w:rsidR="004C1F82" w:rsidRPr="00AC175C" w:rsidRDefault="004C1F82" w:rsidP="004C1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celuloze od drveta ili drugih vlaknastih materijala; </w:t>
      </w:r>
    </w:p>
    <w:p w:rsidR="004C1F82" w:rsidRPr="00AC175C" w:rsidRDefault="004C1F82" w:rsidP="004C1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papira ili kartona, proizvodnog kapaciteta većeg od 40 tona na dan; </w:t>
      </w:r>
    </w:p>
    <w:p w:rsidR="004C1F82" w:rsidRPr="00AC175C" w:rsidRDefault="004C1F82" w:rsidP="004C1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jednog ili više sljedećih panela na bazi drveta: ploče od uzdužno polagane iverice (OSB ploče), ploče od iverice ili lesonit ploče proizvodnog kapaciteta većeg od 1000 m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bs-Latn-BA"/>
        </w:rPr>
        <w:t>3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na dan. </w:t>
      </w: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Prethodna obrada (postupci kao što su pranje, </w:t>
      </w:r>
      <w:r w:rsidRPr="0095453F">
        <w:rPr>
          <w:rFonts w:ascii="Arial" w:hAnsi="Arial" w:cs="Arial"/>
          <w:noProof/>
          <w:color w:val="000000" w:themeColor="text1"/>
          <w:sz w:val="24"/>
          <w:szCs w:val="24"/>
        </w:rPr>
        <w:t>bijeljenje, merceriziranje</w:t>
      </w:r>
      <w:r w:rsidRPr="0095453F">
        <w:rPr>
          <w:rStyle w:val="FootnoteReference"/>
          <w:rFonts w:ascii="Arial" w:hAnsi="Arial" w:cs="Arial"/>
          <w:noProof/>
          <w:color w:val="000000" w:themeColor="text1"/>
          <w:sz w:val="24"/>
          <w:szCs w:val="24"/>
        </w:rPr>
        <w:footnoteReference w:id="1"/>
      </w:r>
      <w:r w:rsidRPr="0095453F">
        <w:rPr>
          <w:rFonts w:ascii="Arial" w:hAnsi="Arial" w:cs="Arial"/>
          <w:noProof/>
          <w:color w:val="000000" w:themeColor="text1"/>
          <w:sz w:val="24"/>
          <w:szCs w:val="24"/>
        </w:rPr>
        <w:t>) ili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bojenje tekstilnih vlakana ili tekstila, pri čemu je kapacitet obrade veći od 20 tona na dan. </w:t>
      </w:r>
    </w:p>
    <w:p w:rsidR="004C1F82" w:rsidRPr="00AC175C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Štavljenje kože, pri čemu je kapacitet obrade veći od 20 tona gotovih proizvoda na dan. 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Klaonice i proizvodnja hrane</w:t>
      </w:r>
    </w:p>
    <w:p w:rsidR="004C1F82" w:rsidRPr="00AC175C" w:rsidRDefault="004C1F82" w:rsidP="004C1F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Klaonice kapaciteta proizvodnje trupala većeg od 100 tona na dan. </w:t>
      </w:r>
    </w:p>
    <w:p w:rsidR="004C1F82" w:rsidRPr="00AC175C" w:rsidRDefault="004C1F82" w:rsidP="004C1F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Obrada i prerada, osim isključivog pakiranja, sljedećih sirovina namijenjenih proizvodnji hrane, bez obzira na to da li su prethodno obrađene: </w:t>
      </w:r>
    </w:p>
    <w:p w:rsidR="004C1F82" w:rsidRPr="00AC175C" w:rsidRDefault="004C1F82" w:rsidP="004C1F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samo sirovina životinjskoga porijekla (osim isključivo iz mlijeka), kapaciteta proizvodnje gotovih proizvoda većeg od 100 tona na dan; </w:t>
      </w:r>
    </w:p>
    <w:p w:rsidR="004C1F82" w:rsidRPr="00AC175C" w:rsidRDefault="004C1F82" w:rsidP="004C1F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lastRenderedPageBreak/>
        <w:t xml:space="preserve">samo sirovina biljnog podrijetla, kapaciteta proizvodnje gotovih proizvoda većeg od 500 tona na dan ili više od 1000 tona na dan ako postrojenje radi u razdoblju ne dužem od 90 uzastopnih dana u godini; </w:t>
      </w:r>
    </w:p>
    <w:p w:rsidR="004C1F82" w:rsidRPr="00AC175C" w:rsidRDefault="004C1F82" w:rsidP="004C1F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sirovina životinjskoga i biljnog porijekla i u zajedničkim i odvojenim proizvodima, kapaciteta proizvodnje gotovih proizvoda u tonama po danu većeg od: </w:t>
      </w:r>
    </w:p>
    <w:p w:rsidR="004C1F82" w:rsidRPr="006A4E9C" w:rsidRDefault="004C1F82" w:rsidP="004C1F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A4E9C">
        <w:rPr>
          <w:rFonts w:ascii="Arial" w:hAnsi="Arial" w:cs="Arial"/>
          <w:noProof/>
          <w:color w:val="000000" w:themeColor="text1"/>
          <w:sz w:val="24"/>
          <w:szCs w:val="24"/>
        </w:rPr>
        <w:t xml:space="preserve">75, ako je A jednako 10 ili više; ili, </w:t>
      </w:r>
    </w:p>
    <w:p w:rsidR="004C1F82" w:rsidRPr="006A4E9C" w:rsidRDefault="004C1F82" w:rsidP="004C1F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A4E9C">
        <w:rPr>
          <w:rFonts w:ascii="Arial" w:hAnsi="Arial" w:cs="Arial"/>
          <w:noProof/>
          <w:color w:val="000000" w:themeColor="text1"/>
          <w:sz w:val="24"/>
          <w:szCs w:val="24"/>
        </w:rPr>
        <w:t xml:space="preserve">[300- (22,5 × A)] u svim drugim slučajevima, </w:t>
      </w:r>
    </w:p>
    <w:p w:rsidR="004C1F82" w:rsidRPr="00AC175C" w:rsidRDefault="004C1F82" w:rsidP="004C1F82">
      <w:pPr>
        <w:spacing w:after="0" w:line="240" w:lineRule="auto"/>
        <w:ind w:left="1416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pri čemu je „A" udio sirovine životinjskog porijekla (u postotku težine) u kapacitetu proizvodnje gotovih proizvoda. </w:t>
      </w:r>
    </w:p>
    <w:p w:rsidR="004C1F82" w:rsidRPr="00AC175C" w:rsidRDefault="004C1F82" w:rsidP="004C1F82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Ambalaža nije uključena u konačnu težinu proizvoda.</w:t>
      </w:r>
    </w:p>
    <w:p w:rsidR="004C1F82" w:rsidRPr="00AC175C" w:rsidRDefault="004C1F82" w:rsidP="004C1F82">
      <w:pPr>
        <w:spacing w:after="0" w:line="240" w:lineRule="auto"/>
        <w:ind w:firstLine="708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Ova tačka ne primjenjuje se ako je sirovina isključivo mlijeko.</w:t>
      </w:r>
    </w:p>
    <w:p w:rsidR="004C1F82" w:rsidRPr="00AC175C" w:rsidRDefault="004C1F82" w:rsidP="004C1F8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836774C" wp14:editId="3C8B7993">
            <wp:extent cx="4686300" cy="2943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5" t="12009" r="5061" b="3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82" w:rsidRPr="00AC175C" w:rsidRDefault="004C1F82" w:rsidP="004C1F8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Obrada i prerada samog mlijeka, pri čemu je dnevni ulaz mlijeka veći od 300 tona po danu (prosječna godišnja vrijednost). </w:t>
      </w:r>
    </w:p>
    <w:p w:rsidR="004C1F82" w:rsidRPr="00AC175C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Zbrinjavanje ili recikliranje životinjskih trupala ili životinjskog otpada, kapaciteta obrade većeg od </w:t>
      </w: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 xml:space="preserve">20 tona na dan </w:t>
      </w:r>
    </w:p>
    <w:p w:rsidR="004C1F82" w:rsidRPr="00B8563A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B8563A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 xml:space="preserve">Intenzivan uzgoj peradi ili svinja: </w:t>
      </w:r>
    </w:p>
    <w:p w:rsidR="004C1F82" w:rsidRPr="00B8563A" w:rsidRDefault="004C1F82" w:rsidP="004C1F8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B8563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60.000 mjesta za perad i više; </w:t>
      </w:r>
    </w:p>
    <w:p w:rsidR="004C1F82" w:rsidRPr="00B8563A" w:rsidRDefault="004C1F82" w:rsidP="004C1F8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B8563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3.000 mjesta za proizvodnju svinja i više (pojedinačne težine više od 30 kg), ili </w:t>
      </w:r>
    </w:p>
    <w:p w:rsidR="004C1F82" w:rsidRDefault="004C1F82" w:rsidP="004C1F8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B8563A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900 mjesta za krmače i više. </w:t>
      </w:r>
    </w:p>
    <w:p w:rsidR="004C1F82" w:rsidRPr="00B8563A" w:rsidRDefault="004C1F82" w:rsidP="004C1F82">
      <w:pPr>
        <w:pStyle w:val="ListParagraph"/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t>površinska obrada supstanci, predmeta ili proizvoda u kojima se koriste organska otapala, posebno za apretiranje</w:t>
      </w:r>
      <w:r w:rsidRPr="00B8563A">
        <w:rPr>
          <w:rStyle w:val="FootnoteReference"/>
          <w:rFonts w:ascii="Arial" w:hAnsi="Arial" w:cs="Arial"/>
          <w:noProof/>
          <w:color w:val="000000" w:themeColor="text1"/>
          <w:sz w:val="24"/>
          <w:szCs w:val="24"/>
        </w:rPr>
        <w:footnoteReference w:id="2"/>
      </w: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štampanje</w:t>
      </w:r>
      <w:r w:rsidRPr="00B8563A">
        <w:rPr>
          <w:rStyle w:val="FootnoteReference"/>
          <w:rFonts w:ascii="Arial" w:hAnsi="Arial" w:cs="Arial"/>
          <w:noProof/>
          <w:color w:val="000000" w:themeColor="text1"/>
          <w:sz w:val="24"/>
          <w:szCs w:val="24"/>
        </w:rPr>
        <w:footnoteReference w:id="3"/>
      </w: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>, premazivanje, odmašćivanje, prevlačenje vodonepropusnim slojem, obradu zatvaranja površinskih pora, bojenje, čišćenje ili impregniranje, kapaciteta potrošnje organskih otapala većeg od 300 kg na sat ili više od 400 tona godišnje i više.</w:t>
      </w:r>
    </w:p>
    <w:p w:rsidR="004C1F82" w:rsidRPr="00B8563A" w:rsidRDefault="004C1F82" w:rsidP="004C1F82">
      <w:pPr>
        <w:pStyle w:val="ListParagraph"/>
        <w:spacing w:after="0" w:line="240" w:lineRule="auto"/>
        <w:ind w:left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Proizvodnja ugljena (tvrdo pečenog uglja) ili elektrografita postupkom spaljivanja ili grafitizacije. 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Hvatanje CO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bscript"/>
        </w:rPr>
        <w:t>2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iz struje otpadnih plinova iz postrojenja obuhvaćenih Prilogom I. ove Uredbe, u svrhu geološkog skladištenja u skladu sa propisima.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>Zaštita drveta i proizvoda od drveta hemikalijama, kapaciteta proizvodnje većeg od 150 m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  <w:vertAlign w:val="superscript"/>
        </w:rPr>
        <w:t>3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 na dan, osim isključive zaštite od </w:t>
      </w:r>
      <w:r w:rsidRPr="00D02951">
        <w:rPr>
          <w:rFonts w:ascii="Arial" w:hAnsi="Arial" w:cs="Arial"/>
          <w:bCs/>
          <w:noProof/>
          <w:color w:val="000000" w:themeColor="text1"/>
          <w:sz w:val="24"/>
          <w:szCs w:val="24"/>
        </w:rPr>
        <w:t>modrenja</w:t>
      </w:r>
      <w:r w:rsidRPr="00D02951">
        <w:rPr>
          <w:rStyle w:val="FootnoteReference"/>
          <w:rFonts w:ascii="Arial" w:hAnsi="Arial" w:cs="Arial"/>
          <w:bCs/>
          <w:noProof/>
          <w:color w:val="000000" w:themeColor="text1"/>
          <w:sz w:val="24"/>
          <w:szCs w:val="24"/>
        </w:rPr>
        <w:footnoteReference w:id="4"/>
      </w: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 xml:space="preserve"> (sapstaina</w:t>
      </w:r>
      <w:r w:rsidRPr="00B8563A">
        <w:rPr>
          <w:rStyle w:val="FootnoteReference"/>
          <w:rFonts w:ascii="Arial" w:hAnsi="Arial" w:cs="Arial"/>
          <w:noProof/>
          <w:color w:val="000000" w:themeColor="text1"/>
          <w:sz w:val="24"/>
          <w:szCs w:val="24"/>
        </w:rPr>
        <w:footnoteReference w:id="5"/>
      </w:r>
      <w:r w:rsidRPr="00B8563A">
        <w:rPr>
          <w:rFonts w:ascii="Arial" w:hAnsi="Arial" w:cs="Arial"/>
          <w:noProof/>
          <w:color w:val="000000" w:themeColor="text1"/>
          <w:sz w:val="24"/>
          <w:szCs w:val="24"/>
        </w:rPr>
        <w:t>).</w:t>
      </w:r>
    </w:p>
    <w:p w:rsidR="004C1F82" w:rsidRPr="00D02951" w:rsidRDefault="004C1F82" w:rsidP="004C1F8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4C1F82" w:rsidRPr="00AC175C" w:rsidRDefault="004C1F82" w:rsidP="004C1F82">
      <w:pPr>
        <w:pStyle w:val="ListParagraph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Obrada otpadnih voda koje ispušta postrojenje </w:t>
      </w:r>
      <w:r w:rsidRPr="00D01DE0">
        <w:rPr>
          <w:rFonts w:ascii="Arial" w:hAnsi="Arial" w:cs="Arial"/>
          <w:noProof/>
          <w:sz w:val="24"/>
          <w:szCs w:val="24"/>
        </w:rPr>
        <w:t>iz ovog Priloga</w:t>
      </w:r>
      <w:r>
        <w:rPr>
          <w:rFonts w:ascii="Arial" w:hAnsi="Arial" w:cs="Arial"/>
          <w:noProof/>
          <w:sz w:val="24"/>
          <w:szCs w:val="24"/>
        </w:rPr>
        <w:t>,</w:t>
      </w:r>
      <w:r w:rsidRPr="00D01DE0">
        <w:rPr>
          <w:rFonts w:ascii="Arial" w:hAnsi="Arial" w:cs="Arial"/>
          <w:noProof/>
          <w:sz w:val="24"/>
          <w:szCs w:val="24"/>
        </w:rPr>
        <w:t xml:space="preserve"> a koja </w:t>
      </w:r>
      <w:r w:rsidRPr="00AC175C">
        <w:rPr>
          <w:rFonts w:ascii="Arial" w:hAnsi="Arial" w:cs="Arial"/>
          <w:noProof/>
          <w:color w:val="000000" w:themeColor="text1"/>
          <w:sz w:val="24"/>
          <w:szCs w:val="24"/>
        </w:rPr>
        <w:t xml:space="preserve">nije obuhvaćena drugim propisima. </w:t>
      </w:r>
    </w:p>
    <w:p w:rsidR="000C1DBC" w:rsidRDefault="000C1DBC">
      <w:bookmarkStart w:id="0" w:name="_GoBack"/>
      <w:bookmarkEnd w:id="0"/>
    </w:p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57" w:rsidRDefault="005B7D57" w:rsidP="004C1F82">
      <w:pPr>
        <w:spacing w:after="0" w:line="240" w:lineRule="auto"/>
      </w:pPr>
      <w:r>
        <w:separator/>
      </w:r>
    </w:p>
  </w:endnote>
  <w:endnote w:type="continuationSeparator" w:id="0">
    <w:p w:rsidR="005B7D57" w:rsidRDefault="005B7D57" w:rsidP="004C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57" w:rsidRDefault="005B7D57" w:rsidP="004C1F82">
      <w:pPr>
        <w:spacing w:after="0" w:line="240" w:lineRule="auto"/>
      </w:pPr>
      <w:r>
        <w:separator/>
      </w:r>
    </w:p>
  </w:footnote>
  <w:footnote w:type="continuationSeparator" w:id="0">
    <w:p w:rsidR="005B7D57" w:rsidRDefault="005B7D57" w:rsidP="004C1F82">
      <w:pPr>
        <w:spacing w:after="0" w:line="240" w:lineRule="auto"/>
      </w:pPr>
      <w:r>
        <w:continuationSeparator/>
      </w:r>
    </w:p>
  </w:footnote>
  <w:footnote w:id="1">
    <w:p w:rsidR="004C1F82" w:rsidRPr="00656208" w:rsidRDefault="004C1F82" w:rsidP="004C1F82">
      <w:pPr>
        <w:pStyle w:val="FootnoteText"/>
        <w:rPr>
          <w:color w:val="000000" w:themeColor="text1"/>
          <w:lang w:val="hr-BA"/>
        </w:rPr>
      </w:pPr>
      <w:r w:rsidRPr="00656208">
        <w:rPr>
          <w:rStyle w:val="FootnoteReference"/>
          <w:color w:val="000000" w:themeColor="text1"/>
        </w:rPr>
        <w:footnoteRef/>
      </w:r>
      <w:r w:rsidRPr="00656208">
        <w:rPr>
          <w:color w:val="000000" w:themeColor="text1"/>
        </w:rPr>
        <w:t xml:space="preserve"> </w:t>
      </w:r>
      <w:r w:rsidRPr="00656208">
        <w:rPr>
          <w:rFonts w:ascii="Arial" w:hAnsi="Arial" w:cs="Arial"/>
          <w:color w:val="000000" w:themeColor="text1"/>
          <w:sz w:val="18"/>
          <w:szCs w:val="18"/>
        </w:rPr>
        <w:t>Postupak oplemenjivanja pamučnih tkanina, pletiva ili konaca namakanjem, najčešće u koncentriranoj natrijevoj bazi ili dr. uz istovremeno istezanje tkanine;</w:t>
      </w:r>
    </w:p>
  </w:footnote>
  <w:footnote w:id="2">
    <w:p w:rsidR="004C1F82" w:rsidRPr="00656208" w:rsidRDefault="004C1F82" w:rsidP="004C1F82">
      <w:pPr>
        <w:pStyle w:val="FootnoteText"/>
        <w:rPr>
          <w:rFonts w:ascii="Arial" w:hAnsi="Arial" w:cs="Arial"/>
          <w:sz w:val="18"/>
          <w:szCs w:val="18"/>
          <w:lang w:val="hr-BA"/>
        </w:rPr>
      </w:pPr>
      <w:r w:rsidRPr="00656208">
        <w:rPr>
          <w:rStyle w:val="FootnoteReference"/>
          <w:rFonts w:ascii="Arial" w:hAnsi="Arial" w:cs="Arial"/>
          <w:sz w:val="18"/>
          <w:szCs w:val="18"/>
        </w:rPr>
        <w:footnoteRef/>
      </w:r>
      <w:r w:rsidRPr="006562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656208">
        <w:rPr>
          <w:rFonts w:ascii="Arial" w:hAnsi="Arial" w:cs="Arial"/>
          <w:sz w:val="18"/>
          <w:szCs w:val="18"/>
        </w:rPr>
        <w:t xml:space="preserve">avršni </w:t>
      </w:r>
      <w:r w:rsidRPr="00656208">
        <w:rPr>
          <w:rFonts w:ascii="Arial" w:hAnsi="Arial" w:cs="Arial"/>
          <w:sz w:val="18"/>
          <w:szCs w:val="18"/>
        </w:rPr>
        <w:t xml:space="preserve">postupci oplemenjivanja tekstilnih materijala, papira, kože i krzna, kojima se materijalima daju konačne osobine i izgled. </w:t>
      </w:r>
    </w:p>
  </w:footnote>
  <w:footnote w:id="3">
    <w:p w:rsidR="004C1F82" w:rsidRPr="00ED1166" w:rsidRDefault="004C1F82" w:rsidP="004C1F82">
      <w:pPr>
        <w:pStyle w:val="FootnoteText"/>
        <w:rPr>
          <w:rFonts w:ascii="Arial" w:hAnsi="Arial" w:cs="Arial"/>
          <w:sz w:val="18"/>
          <w:szCs w:val="18"/>
          <w:lang w:val="hr-BA"/>
        </w:rPr>
      </w:pPr>
      <w:r w:rsidRPr="00656208">
        <w:rPr>
          <w:rStyle w:val="FootnoteReference"/>
          <w:rFonts w:ascii="Arial" w:hAnsi="Arial" w:cs="Arial"/>
          <w:sz w:val="18"/>
          <w:szCs w:val="18"/>
        </w:rPr>
        <w:footnoteRef/>
      </w:r>
      <w:r w:rsidRPr="00656208">
        <w:rPr>
          <w:rFonts w:ascii="Arial" w:hAnsi="Arial" w:cs="Arial"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sz w:val="18"/>
          <w:szCs w:val="18"/>
        </w:rPr>
        <w:t>I</w:t>
      </w:r>
      <w:r w:rsidRPr="00656208">
        <w:rPr>
          <w:rStyle w:val="Strong"/>
          <w:rFonts w:ascii="Arial" w:hAnsi="Arial" w:cs="Arial"/>
          <w:sz w:val="18"/>
          <w:szCs w:val="18"/>
        </w:rPr>
        <w:t xml:space="preserve">ndustrijska </w:t>
      </w:r>
      <w:r w:rsidRPr="00656208">
        <w:rPr>
          <w:rStyle w:val="Strong"/>
          <w:rFonts w:ascii="Arial" w:hAnsi="Arial" w:cs="Arial"/>
          <w:sz w:val="18"/>
          <w:szCs w:val="18"/>
        </w:rPr>
        <w:t>tehnika</w:t>
      </w:r>
      <w:r w:rsidRPr="00656208">
        <w:rPr>
          <w:rFonts w:ascii="Arial" w:hAnsi="Arial" w:cs="Arial"/>
          <w:sz w:val="18"/>
          <w:szCs w:val="18"/>
        </w:rPr>
        <w:t xml:space="preserve"> koja omogućuje da se na papiru ili sličnim materijalima </w:t>
      </w:r>
      <w:r w:rsidRPr="00656208">
        <w:rPr>
          <w:rStyle w:val="Strong"/>
          <w:rFonts w:ascii="Arial" w:hAnsi="Arial" w:cs="Arial"/>
          <w:sz w:val="18"/>
          <w:szCs w:val="18"/>
        </w:rPr>
        <w:t>reproduciraju</w:t>
      </w:r>
      <w:r w:rsidRPr="00656208">
        <w:rPr>
          <w:rFonts w:ascii="Arial" w:hAnsi="Arial" w:cs="Arial"/>
          <w:sz w:val="18"/>
          <w:szCs w:val="18"/>
        </w:rPr>
        <w:t xml:space="preserve"> tekstovi i slike.</w:t>
      </w:r>
    </w:p>
  </w:footnote>
  <w:footnote w:id="4">
    <w:p w:rsidR="004C1F82" w:rsidRPr="00B8563A" w:rsidRDefault="004C1F82" w:rsidP="004C1F82">
      <w:pPr>
        <w:pStyle w:val="FootnoteText"/>
        <w:rPr>
          <w:rFonts w:ascii="Arial" w:hAnsi="Arial" w:cs="Arial"/>
          <w:sz w:val="18"/>
          <w:szCs w:val="18"/>
          <w:lang w:val="hr-BA"/>
        </w:rPr>
      </w:pPr>
      <w:r w:rsidRPr="00B8563A">
        <w:rPr>
          <w:rStyle w:val="FootnoteReference"/>
          <w:rFonts w:ascii="Arial" w:hAnsi="Arial" w:cs="Arial"/>
          <w:sz w:val="18"/>
          <w:szCs w:val="18"/>
        </w:rPr>
        <w:footnoteRef/>
      </w:r>
      <w:r w:rsidRPr="00B8563A">
        <w:rPr>
          <w:rFonts w:ascii="Arial" w:hAnsi="Arial" w:cs="Arial"/>
          <w:sz w:val="18"/>
          <w:szCs w:val="18"/>
        </w:rPr>
        <w:t xml:space="preserve"> </w:t>
      </w:r>
      <w:r w:rsidRPr="00B8563A">
        <w:rPr>
          <w:rFonts w:ascii="Arial" w:hAnsi="Arial" w:cs="Arial"/>
          <w:sz w:val="18"/>
          <w:szCs w:val="18"/>
        </w:rPr>
        <w:t xml:space="preserve">Pojava  </w:t>
      </w:r>
      <w:r w:rsidRPr="00B8563A">
        <w:rPr>
          <w:rFonts w:ascii="Arial" w:hAnsi="Arial" w:cs="Arial"/>
          <w:sz w:val="18"/>
          <w:szCs w:val="18"/>
        </w:rPr>
        <w:t>promjene na vanjskim dijelovma drveta koja nastaje kao posljedica djelovanja nekih vrsta gljiva ili insekata; lignikolne gljive nepovratno mijenjaju boju drveta svježih i odstajalih trupaca i svježe piljene građe</w:t>
      </w:r>
    </w:p>
  </w:footnote>
  <w:footnote w:id="5">
    <w:p w:rsidR="004C1F82" w:rsidRPr="00ED1166" w:rsidRDefault="004C1F82" w:rsidP="004C1F82">
      <w:pPr>
        <w:pStyle w:val="FootnoteText"/>
        <w:rPr>
          <w:rFonts w:ascii="Arial" w:hAnsi="Arial" w:cs="Arial"/>
          <w:sz w:val="18"/>
          <w:szCs w:val="18"/>
          <w:lang w:val="hr-BA"/>
        </w:rPr>
      </w:pPr>
      <w:r w:rsidRPr="00B8563A">
        <w:rPr>
          <w:rStyle w:val="FootnoteReference"/>
          <w:rFonts w:ascii="Arial" w:hAnsi="Arial" w:cs="Arial"/>
          <w:sz w:val="18"/>
          <w:szCs w:val="18"/>
        </w:rPr>
        <w:footnoteRef/>
      </w:r>
      <w:r w:rsidRPr="00B8563A">
        <w:rPr>
          <w:rFonts w:ascii="Arial" w:hAnsi="Arial" w:cs="Arial"/>
          <w:sz w:val="18"/>
          <w:szCs w:val="18"/>
        </w:rPr>
        <w:t xml:space="preserve"> </w:t>
      </w:r>
      <w:r w:rsidRPr="00B8563A">
        <w:rPr>
          <w:rFonts w:ascii="Arial" w:hAnsi="Arial" w:cs="Arial"/>
          <w:sz w:val="18"/>
          <w:szCs w:val="18"/>
        </w:rPr>
        <w:t xml:space="preserve">Trajna </w:t>
      </w:r>
      <w:r w:rsidRPr="00B8563A">
        <w:rPr>
          <w:rFonts w:ascii="Arial" w:hAnsi="Arial" w:cs="Arial"/>
          <w:sz w:val="18"/>
          <w:szCs w:val="18"/>
        </w:rPr>
        <w:t>promjena prirodne boje drveta uzrokovana zarazom -  lignikolnim gljivama;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E61"/>
    <w:multiLevelType w:val="hybridMultilevel"/>
    <w:tmpl w:val="576AE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278"/>
    <w:multiLevelType w:val="hybridMultilevel"/>
    <w:tmpl w:val="D16CA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688A"/>
    <w:multiLevelType w:val="hybridMultilevel"/>
    <w:tmpl w:val="CF9651BC"/>
    <w:lvl w:ilvl="0" w:tplc="1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6545"/>
    <w:multiLevelType w:val="multilevel"/>
    <w:tmpl w:val="3CC60CC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F8D429A"/>
    <w:multiLevelType w:val="hybridMultilevel"/>
    <w:tmpl w:val="A782CB1A"/>
    <w:lvl w:ilvl="0" w:tplc="21AE903A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A5385D"/>
    <w:multiLevelType w:val="hybridMultilevel"/>
    <w:tmpl w:val="F06E5628"/>
    <w:lvl w:ilvl="0" w:tplc="CDEEC78A">
      <w:start w:val="1"/>
      <w:numFmt w:val="bullet"/>
      <w:lvlText w:val="⁃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FB268B"/>
    <w:multiLevelType w:val="hybridMultilevel"/>
    <w:tmpl w:val="D1F43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60C"/>
    <w:multiLevelType w:val="hybridMultilevel"/>
    <w:tmpl w:val="3524F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60C5"/>
    <w:multiLevelType w:val="hybridMultilevel"/>
    <w:tmpl w:val="4B1A9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2287B"/>
    <w:multiLevelType w:val="hybridMultilevel"/>
    <w:tmpl w:val="45CCF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2900"/>
    <w:multiLevelType w:val="hybridMultilevel"/>
    <w:tmpl w:val="5D60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72DFB"/>
    <w:multiLevelType w:val="hybridMultilevel"/>
    <w:tmpl w:val="7E540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0192"/>
    <w:multiLevelType w:val="hybridMultilevel"/>
    <w:tmpl w:val="DB9A3C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82"/>
    <w:rsid w:val="000C1DBC"/>
    <w:rsid w:val="004C1F82"/>
    <w:rsid w:val="0057291E"/>
    <w:rsid w:val="005B7D57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10B0-A464-4F6E-9DEC-E244B02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82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4C1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C1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C1F82"/>
    <w:pPr>
      <w:spacing w:after="160" w:line="256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F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F82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4C1F82"/>
    <w:rPr>
      <w:vertAlign w:val="superscript"/>
    </w:rPr>
  </w:style>
  <w:style w:type="character" w:styleId="Strong">
    <w:name w:val="Strong"/>
    <w:basedOn w:val="DefaultParagraphFont"/>
    <w:uiPriority w:val="22"/>
    <w:qFormat/>
    <w:rsid w:val="004C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2022-11-23T08:04:00Z</dcterms:created>
  <dcterms:modified xsi:type="dcterms:W3CDTF">2022-11-23T08:05:00Z</dcterms:modified>
</cp:coreProperties>
</file>