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D5" w:rsidRPr="00EB78B8" w:rsidRDefault="00A804F1" w:rsidP="00A804F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Broj: </w:t>
      </w:r>
      <w:r w:rsidR="004023BC">
        <w:rPr>
          <w:rFonts w:ascii="Arial" w:hAnsi="Arial" w:cs="Arial"/>
          <w:color w:val="000000" w:themeColor="text1"/>
          <w:sz w:val="24"/>
          <w:szCs w:val="24"/>
          <w:lang w:val="bs-Latn-BA"/>
        </w:rPr>
        <w:t>UPI 05/2-02-19-5-181/21</w:t>
      </w:r>
      <w:r w:rsidR="00A855BB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MK</w:t>
      </w:r>
    </w:p>
    <w:p w:rsidR="00A804F1" w:rsidRPr="00EB78B8" w:rsidRDefault="00A804F1" w:rsidP="004023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Datum:</w:t>
      </w:r>
      <w:r w:rsidR="00A855BB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13</w:t>
      </w:r>
      <w:r w:rsidR="00924093">
        <w:rPr>
          <w:rFonts w:ascii="Arial" w:hAnsi="Arial" w:cs="Arial"/>
          <w:color w:val="000000" w:themeColor="text1"/>
          <w:sz w:val="24"/>
          <w:szCs w:val="24"/>
          <w:lang w:val="bs-Latn-BA"/>
        </w:rPr>
        <w:t>.12</w:t>
      </w:r>
      <w:r w:rsidR="004023BC">
        <w:rPr>
          <w:rFonts w:ascii="Arial" w:hAnsi="Arial" w:cs="Arial"/>
          <w:color w:val="000000" w:themeColor="text1"/>
          <w:sz w:val="24"/>
          <w:szCs w:val="24"/>
          <w:lang w:val="bs-Latn-BA"/>
        </w:rPr>
        <w:t>.2021.godine</w:t>
      </w:r>
    </w:p>
    <w:p w:rsidR="00A804F1" w:rsidRPr="00EB78B8" w:rsidRDefault="00A804F1" w:rsidP="00A804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p w:rsidR="00F21E0D" w:rsidRPr="00EB78B8" w:rsidRDefault="002E0970" w:rsidP="00A804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Federalno ministarstvo okoli</w:t>
      </w:r>
      <w:r w:rsidR="00852BF0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ša i turizma, na osnovu člana </w:t>
      </w:r>
      <w:r w:rsidR="0004702E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89. stav (1</w:t>
      </w:r>
      <w:r w:rsidR="004C7C21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)</w:t>
      </w:r>
      <w:r w:rsidR="00F60F7C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Zakona o zaštiti </w:t>
      </w:r>
      <w:r w:rsidR="00852BF0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okoliša</w:t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(„Službene</w:t>
      </w:r>
      <w:r w:rsidR="00852BF0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novine Federacije BiH“, broj 15/21</w:t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) i člana</w:t>
      </w:r>
      <w:r w:rsidR="004C7C21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1F29FC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13</w:t>
      </w:r>
      <w:r w:rsidR="00852BF0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.</w:t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st</w:t>
      </w:r>
      <w:r w:rsidR="00F60F7C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.</w:t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852BF0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(</w:t>
      </w:r>
      <w:r w:rsidR="001F29FC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7</w:t>
      </w:r>
      <w:r w:rsidR="00852BF0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) </w:t>
      </w:r>
      <w:r w:rsidR="001F29FC" w:rsidRPr="00EB78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Pravilnika o pogonima, postrojenjima i skladištima u kojima su prisutne opasne supstance koje mogu dovesti do nesreća većih razmjera</w:t>
      </w:r>
      <w:r w:rsidR="001F29FC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852BF0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(„Službene novine Federacije BiH“ broj 51/21) (u daljem tekstu: </w:t>
      </w:r>
      <w:r w:rsidR="001F29FC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Pravilnik</w:t>
      </w:r>
      <w:r w:rsidR="00852BF0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)</w:t>
      </w:r>
      <w:r w:rsidR="00F94783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,</w:t>
      </w:r>
      <w:r w:rsidR="00691A32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rješavajući po zahtjevu </w:t>
      </w:r>
      <w:r w:rsidR="00B44694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operatera </w:t>
      </w:r>
      <w:r w:rsidR="001F29FC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Interpromet d.o.o. Vitez</w:t>
      </w:r>
      <w:r w:rsidR="00BA185A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u predmetu izdavanja okolišn</w:t>
      </w:r>
      <w:r w:rsidR="00691A32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e dozvole, donosi</w:t>
      </w:r>
      <w:r w:rsidR="00F21E0D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:</w:t>
      </w:r>
    </w:p>
    <w:p w:rsidR="00691A32" w:rsidRPr="00EB78B8" w:rsidRDefault="00691A32" w:rsidP="00A804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</w:p>
    <w:p w:rsidR="00D2020C" w:rsidRDefault="00477903" w:rsidP="00D2020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RJEŠENJE</w:t>
      </w:r>
    </w:p>
    <w:p w:rsidR="00D2020C" w:rsidRDefault="00D2020C" w:rsidP="00A855B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</w:p>
    <w:p w:rsidR="00D2020C" w:rsidRDefault="00D2020C" w:rsidP="00D2020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 w:rsidRPr="00D2020C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1.</w:t>
      </w:r>
      <w:r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 </w:t>
      </w:r>
      <w:r w:rsidR="00BA185A" w:rsidRPr="00D2020C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Izdaje </w:t>
      </w:r>
      <w:r w:rsidR="00F76B36" w:rsidRPr="00D2020C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se </w:t>
      </w:r>
      <w:r w:rsidR="00BA185A" w:rsidRPr="00D2020C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okolišna</w:t>
      </w:r>
      <w:r w:rsidR="001F29FC" w:rsidRPr="00D2020C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 dozvola </w:t>
      </w:r>
      <w:r w:rsidR="004023BC" w:rsidRPr="00D2020C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operateru Interpromet d.o.o. Vitez </w:t>
      </w:r>
      <w:r w:rsidR="00D1414E" w:rsidRPr="00D2020C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za </w:t>
      </w:r>
      <w:r w:rsidRPr="00D2020C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skladišta </w:t>
      </w:r>
      <w:r w:rsidR="00D1414E" w:rsidRPr="00D2020C">
        <w:rPr>
          <w:rFonts w:ascii="Arial" w:hAnsi="Arial" w:cs="Arial"/>
          <w:color w:val="000000" w:themeColor="text1"/>
          <w:sz w:val="24"/>
          <w:szCs w:val="24"/>
          <w:lang w:val="bs-Latn-BA"/>
        </w:rPr>
        <w:t>eksploziva</w:t>
      </w:r>
      <w:r w:rsidR="007A0949" w:rsidRPr="00D2020C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F238AF" w:rsidRPr="00D2020C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koja </w:t>
      </w:r>
      <w:r w:rsidR="007A0949" w:rsidRPr="00D2020C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su </w:t>
      </w:r>
      <w:r w:rsidR="004023BC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locirana u uređenom industrijskom krugu na adresi Brizjak –</w:t>
      </w:r>
      <w:r w:rsidR="007A0949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 xml:space="preserve"> Divjak bb.</w:t>
      </w:r>
      <w:r w:rsidR="00F238AF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 xml:space="preserve"> </w:t>
      </w:r>
      <w:r w:rsidR="004023BC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Zemljišni kompleks na kojem se nalaze skladišta eksplozivn</w:t>
      </w:r>
      <w:r w:rsidR="007A0949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 xml:space="preserve">ih tvari, u kojima se </w:t>
      </w:r>
      <w:r w:rsidR="004023BC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obavlja</w:t>
      </w:r>
      <w:r w:rsidR="00031B16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 xml:space="preserve"> skladištenje i promet eksploz</w:t>
      </w:r>
      <w:r w:rsidR="004023BC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ivnih tvari označeni na katastarskim parcelama br. 208/1, 208/2, 208/3, 208/4, 209, 210/1, 210/2, 210/3, 211/2, 21</w:t>
      </w:r>
      <w:r w:rsidR="007A0949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3/2, 214/1, 214/2, 214/3,</w:t>
      </w:r>
      <w:r w:rsidR="004023BC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215/1, 215/2, 216 katastarska općina Donja Večeriska, opć</w:t>
      </w:r>
      <w:r w:rsidR="007A0949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ina Vitez te 1791/2, 1791/3,1794/1, 1794/2, 1794/3,</w:t>
      </w:r>
      <w:r w:rsidR="004023BC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1795/2, 1800/2, 1880/2, 1880/4, 1880/5 katastarska općina Moš</w:t>
      </w:r>
      <w:r w:rsidR="007A0949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unj</w:t>
      </w:r>
      <w:r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 xml:space="preserve">, </w:t>
      </w:r>
      <w:r w:rsidR="004023BC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opć</w:t>
      </w:r>
      <w:r w:rsidR="007A0949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 xml:space="preserve">ina Vitez. </w:t>
      </w:r>
      <w:r w:rsidR="004023BC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Kompleks</w:t>
      </w:r>
      <w:r w:rsidR="00031B16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 xml:space="preserve"> od osam</w:t>
      </w:r>
      <w:r w:rsidR="004023BC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 xml:space="preserve"> skladišta eksplozivnih tvari komunikacijski je pu</w:t>
      </w:r>
      <w:r w:rsidR="007A0949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 xml:space="preserve">tem lokalne asfaltne prometnice </w:t>
      </w:r>
      <w:r w:rsidR="004023BC" w:rsidRPr="00D2020C">
        <w:rPr>
          <w:rFonts w:ascii="Arial" w:eastAsia="CIDFont+F2" w:hAnsi="Arial" w:cs="Arial"/>
          <w:noProof w:val="0"/>
          <w:sz w:val="24"/>
          <w:szCs w:val="24"/>
          <w:lang w:val="en-US"/>
        </w:rPr>
        <w:t>povezan na magistralnu prometnicu M5.</w:t>
      </w:r>
    </w:p>
    <w:p w:rsidR="00D2020C" w:rsidRDefault="00D2020C" w:rsidP="00D2020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2. </w:t>
      </w:r>
      <w:r w:rsidRPr="00D2020C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Objekti za koje se izdaje okolišna dozvola</w:t>
      </w:r>
    </w:p>
    <w:p w:rsidR="003278EC" w:rsidRPr="00F93698" w:rsidRDefault="00AB44A7" w:rsidP="00D202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>Interpromet d.o.o. Vitez pri obavljanju djelatnosti prometa eksplozivnih tvari</w:t>
      </w:r>
      <w:r w:rsidR="003278EC"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koristi skladišta koja se nalaze u krugu PS Vitezit d.o.o. Vitez, kupovinom predmetnih skladišta i stavljanja istih u funkciju osigurava stabilnije poslovanje i snabdijevanje tržišta BiH eksplozivnim sredstvima.</w:t>
      </w:r>
    </w:p>
    <w:p w:rsidR="00D2020C" w:rsidRPr="00F93698" w:rsidRDefault="00763CA1" w:rsidP="00D202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>Pogon je ograđen bodljikavom žicom, opremljen sa videonazorom. Komunikacija unutar pogona odvija se asfaltnim prometnicama, a objekti su raspoređeni na naćin da su osigurane si</w:t>
      </w:r>
      <w:r w:rsidR="00F93698"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>gurnosne razdaljine između skladišta:</w:t>
      </w:r>
      <w:r w:rsidR="003278EC"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</w:p>
    <w:p w:rsidR="00763CA1" w:rsidRPr="00F93698" w:rsidRDefault="00763CA1" w:rsidP="00D202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>- Skladište eksplozivnih sredstava- šifra R-10</w:t>
      </w:r>
    </w:p>
    <w:p w:rsidR="00F93698" w:rsidRPr="00F93698" w:rsidRDefault="00F93698" w:rsidP="00F93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>- Skladište eksplozivnih sredstava- šifra R-11</w:t>
      </w:r>
    </w:p>
    <w:p w:rsidR="00F93698" w:rsidRPr="00F93698" w:rsidRDefault="00F93698" w:rsidP="00F93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>- Skladište eksplozivnih sredstava- šifra R-111</w:t>
      </w:r>
    </w:p>
    <w:p w:rsidR="00F93698" w:rsidRPr="00F93698" w:rsidRDefault="00F93698" w:rsidP="00F93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>- Skladište eksplozivnih sredstava- šifra R-211</w:t>
      </w:r>
    </w:p>
    <w:p w:rsidR="00F93698" w:rsidRPr="00F93698" w:rsidRDefault="00F93698" w:rsidP="00F93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>- Skladište eksplozivnih sredstava- šifra R-311</w:t>
      </w:r>
    </w:p>
    <w:p w:rsidR="00F93698" w:rsidRPr="00F93698" w:rsidRDefault="00F93698" w:rsidP="00F9369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>- Skladište eksplozivnih sredstava- šifra R-514</w:t>
      </w:r>
    </w:p>
    <w:p w:rsidR="00F93698" w:rsidRPr="00A855BB" w:rsidRDefault="00F93698" w:rsidP="00D2020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F93698">
        <w:rPr>
          <w:rFonts w:ascii="Arial" w:hAnsi="Arial" w:cs="Arial"/>
          <w:color w:val="000000" w:themeColor="text1"/>
          <w:sz w:val="24"/>
          <w:szCs w:val="24"/>
          <w:lang w:val="bs-Latn-BA"/>
        </w:rPr>
        <w:t>- Skladište eksplozivnih sredstava- šifra R-614</w:t>
      </w:r>
    </w:p>
    <w:p w:rsidR="008D4414" w:rsidRPr="00F93698" w:rsidRDefault="008D4414" w:rsidP="00F93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noProof w:val="0"/>
          <w:sz w:val="24"/>
          <w:szCs w:val="24"/>
          <w:lang w:val="en-US"/>
        </w:rPr>
      </w:pPr>
      <w:r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>Djelatnost poduzeća se svodi na kupovinu tvorničkih upakiranih eksplozivnih tvari, te</w:t>
      </w:r>
      <w:r w:rsidR="00F93698"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 xml:space="preserve"> </w:t>
      </w:r>
      <w:r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>skladištenje istih odakle se vrši distribucija prema krajnjim kupcima-korisnicima.</w:t>
      </w:r>
    </w:p>
    <w:p w:rsidR="008D4414" w:rsidRPr="00F93698" w:rsidRDefault="008D4414" w:rsidP="00F93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noProof w:val="0"/>
          <w:sz w:val="24"/>
          <w:szCs w:val="24"/>
          <w:lang w:val="en-US"/>
        </w:rPr>
      </w:pPr>
      <w:r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>Za distribuciju eksplozivnih tvari privrednog društva „INTERPROMET“</w:t>
      </w:r>
      <w:r w:rsidR="00F93698"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 xml:space="preserve"> d.o.o. Vitez koristi </w:t>
      </w:r>
      <w:r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>vlastiti vozni park.</w:t>
      </w:r>
    </w:p>
    <w:p w:rsidR="008D4414" w:rsidRPr="00F93698" w:rsidRDefault="008D4414" w:rsidP="00F936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noProof w:val="0"/>
          <w:sz w:val="24"/>
          <w:szCs w:val="24"/>
          <w:lang w:val="en-US"/>
        </w:rPr>
      </w:pPr>
      <w:r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 xml:space="preserve">Manipulacija eksplozivnim tvarima vrši se ručnim paletarom, </w:t>
      </w:r>
      <w:r w:rsidR="00F93698"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 xml:space="preserve">a ista se dopremaju i otpremaju </w:t>
      </w:r>
      <w:r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>najvećim dijelom na euro paletama, dok se manji dio odvija ručnom manipulacijom.</w:t>
      </w:r>
    </w:p>
    <w:p w:rsidR="00D1414E" w:rsidRPr="00F93698" w:rsidRDefault="008D4414" w:rsidP="00F93698">
      <w:pPr>
        <w:spacing w:after="0" w:line="240" w:lineRule="auto"/>
        <w:jc w:val="both"/>
        <w:rPr>
          <w:rFonts w:ascii="Arial" w:eastAsia="CIDFont+F3" w:hAnsi="Arial" w:cs="Arial"/>
          <w:noProof w:val="0"/>
          <w:sz w:val="24"/>
          <w:szCs w:val="24"/>
          <w:lang w:val="en-US"/>
        </w:rPr>
      </w:pPr>
      <w:r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>Za obavljanje djelatnosti poduzeće ima stručni kadar koji je osposobljen za:</w:t>
      </w:r>
    </w:p>
    <w:p w:rsidR="00F93698" w:rsidRPr="00F93698" w:rsidRDefault="00F93698" w:rsidP="00F93698">
      <w:pPr>
        <w:spacing w:after="0" w:line="240" w:lineRule="auto"/>
        <w:jc w:val="both"/>
        <w:rPr>
          <w:rFonts w:ascii="Arial" w:eastAsia="CIDFont+F3" w:hAnsi="Arial" w:cs="Arial"/>
          <w:noProof w:val="0"/>
          <w:sz w:val="24"/>
          <w:szCs w:val="24"/>
          <w:lang w:val="en-US"/>
        </w:rPr>
      </w:pPr>
      <w:r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>- rukovanje eksplozivnim tvarima i</w:t>
      </w:r>
    </w:p>
    <w:p w:rsidR="00F93698" w:rsidRDefault="00F93698" w:rsidP="00F93698">
      <w:pPr>
        <w:spacing w:after="0" w:line="240" w:lineRule="auto"/>
        <w:jc w:val="both"/>
        <w:rPr>
          <w:rFonts w:ascii="Arial" w:eastAsia="CIDFont+F3" w:hAnsi="Arial" w:cs="Arial"/>
          <w:noProof w:val="0"/>
          <w:sz w:val="24"/>
          <w:szCs w:val="24"/>
          <w:lang w:val="en-US"/>
        </w:rPr>
      </w:pPr>
      <w:r w:rsidRPr="00F93698">
        <w:rPr>
          <w:rFonts w:ascii="Arial" w:eastAsia="CIDFont+F3" w:hAnsi="Arial" w:cs="Arial"/>
          <w:noProof w:val="0"/>
          <w:sz w:val="24"/>
          <w:szCs w:val="24"/>
          <w:lang w:val="en-US"/>
        </w:rPr>
        <w:t>- prometovanje eksplozivnim tvarima.</w:t>
      </w:r>
    </w:p>
    <w:p w:rsidR="008C1D4A" w:rsidRPr="008C1D4A" w:rsidRDefault="008C1D4A" w:rsidP="008C1D4A">
      <w:pPr>
        <w:pStyle w:val="BodyText2"/>
        <w:rPr>
          <w:rFonts w:cs="Arial"/>
          <w:sz w:val="24"/>
          <w:szCs w:val="24"/>
        </w:rPr>
      </w:pPr>
      <w:r w:rsidRPr="008C1D4A">
        <w:rPr>
          <w:rFonts w:cs="Arial"/>
          <w:sz w:val="24"/>
          <w:szCs w:val="24"/>
        </w:rPr>
        <w:lastRenderedPageBreak/>
        <w:t>Skladišta zadovoljavaju opće uvjete sigurne udaljenosti, otpornosti na požar, ugrađene opreme izvedene na način da se spriječi unutrašnje i vanjsko iskrenje, sa mogućnosti prirodnog provjetravanja, zaštite od provala i krađa, od atmosferskih uticaja (padavine, atmosferska pražnjenje i sl.). Skladište je opremljeno odgovarajućim uređajima i sredstvima za gašenje požara.</w:t>
      </w:r>
    </w:p>
    <w:p w:rsidR="00F93698" w:rsidRDefault="00F93698" w:rsidP="00F93698">
      <w:pPr>
        <w:spacing w:after="0" w:line="240" w:lineRule="auto"/>
        <w:jc w:val="both"/>
        <w:rPr>
          <w:rFonts w:ascii="Arial" w:eastAsia="CIDFont+F3" w:hAnsi="Arial" w:cs="Arial"/>
          <w:noProof w:val="0"/>
          <w:sz w:val="24"/>
          <w:szCs w:val="24"/>
          <w:lang w:val="en-US"/>
        </w:rPr>
      </w:pPr>
    </w:p>
    <w:p w:rsidR="00F93698" w:rsidRPr="00F93698" w:rsidRDefault="00F93698" w:rsidP="00A855BB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3</w:t>
      </w:r>
      <w:r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. Osnov za postupanje</w:t>
      </w:r>
    </w:p>
    <w:p w:rsidR="00D1414E" w:rsidRPr="00EB78B8" w:rsidRDefault="005C12BD" w:rsidP="00A804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EB78B8">
        <w:rPr>
          <w:rFonts w:ascii="Arial" w:hAnsi="Arial" w:cs="Arial"/>
          <w:color w:val="000000" w:themeColor="text1"/>
          <w:sz w:val="24"/>
          <w:szCs w:val="24"/>
          <w:lang w:val="hr-HR"/>
        </w:rPr>
        <w:t>Predmetno skladište u</w:t>
      </w:r>
      <w:r w:rsidR="00D1414E" w:rsidRPr="00EB78B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skladu sa stavom (1) člana 102. i stavom (1) člana 107. Zakona o zaštiti okoliša („Službene novin</w:t>
      </w:r>
      <w:r w:rsidRPr="00EB78B8">
        <w:rPr>
          <w:rFonts w:ascii="Arial" w:hAnsi="Arial" w:cs="Arial"/>
          <w:color w:val="000000" w:themeColor="text1"/>
          <w:sz w:val="24"/>
          <w:szCs w:val="24"/>
          <w:lang w:val="hr-HR"/>
        </w:rPr>
        <w:t>e Federacije BiH“, broj: 15/21)</w:t>
      </w:r>
      <w:r w:rsidR="00D1414E" w:rsidRPr="00EB78B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skladište eksploziva Interpromet d.o.o. Vitez</w:t>
      </w:r>
      <w:r w:rsidRPr="00EB7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414E" w:rsidRPr="00EB78B8">
        <w:rPr>
          <w:rFonts w:ascii="Arial" w:hAnsi="Arial" w:cs="Arial"/>
          <w:color w:val="000000" w:themeColor="text1"/>
          <w:sz w:val="24"/>
          <w:szCs w:val="24"/>
        </w:rPr>
        <w:t xml:space="preserve">pripada </w:t>
      </w:r>
      <w:r w:rsidR="00D1414E" w:rsidRPr="00EB78B8">
        <w:rPr>
          <w:rFonts w:ascii="Arial" w:hAnsi="Arial" w:cs="Arial"/>
          <w:b/>
          <w:color w:val="000000" w:themeColor="text1"/>
          <w:sz w:val="24"/>
          <w:szCs w:val="24"/>
        </w:rPr>
        <w:t>višem razredu</w:t>
      </w:r>
      <w:r w:rsidR="00D1414E" w:rsidRPr="00EB78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02FD" w:rsidRPr="00EB78B8">
        <w:rPr>
          <w:rFonts w:ascii="Arial" w:hAnsi="Arial" w:cs="Arial"/>
          <w:color w:val="000000" w:themeColor="text1"/>
          <w:sz w:val="24"/>
          <w:szCs w:val="24"/>
        </w:rPr>
        <w:t xml:space="preserve">skladišta </w:t>
      </w:r>
      <w:r w:rsidR="00F93698">
        <w:rPr>
          <w:rFonts w:ascii="Arial" w:hAnsi="Arial" w:cs="Arial"/>
          <w:color w:val="000000" w:themeColor="text1"/>
          <w:sz w:val="24"/>
          <w:szCs w:val="24"/>
        </w:rPr>
        <w:t xml:space="preserve"> (50 ili 125 t po skladištu) </w:t>
      </w:r>
      <w:r w:rsidR="00D1414E" w:rsidRPr="00EB78B8">
        <w:rPr>
          <w:rFonts w:ascii="Arial" w:hAnsi="Arial" w:cs="Arial"/>
          <w:color w:val="000000" w:themeColor="text1"/>
          <w:sz w:val="24"/>
          <w:szCs w:val="24"/>
        </w:rPr>
        <w:t xml:space="preserve">u skladu sa Prilogom Ia., Dio </w:t>
      </w:r>
      <w:r w:rsidR="00D971FB" w:rsidRPr="00EB78B8">
        <w:rPr>
          <w:rFonts w:ascii="Arial" w:hAnsi="Arial" w:cs="Arial"/>
          <w:color w:val="000000" w:themeColor="text1"/>
          <w:sz w:val="24"/>
          <w:szCs w:val="24"/>
        </w:rPr>
        <w:t>1. kolona 3. i Dio 2. kolona 3.</w:t>
      </w:r>
      <w:r w:rsidR="00D1414E" w:rsidRPr="00EB78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Pravilnik</w:t>
      </w:r>
      <w:r w:rsidR="00D971FB" w:rsidRPr="00EB78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D1414E" w:rsidRPr="00EB78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pogonima, postrojenjima i skladištima u kojima su prisutne opasne supstance koje mogu dovesti do nesreća većih razmjera ("Službene novine Federacije BiH", broj: 51/21).</w:t>
      </w:r>
    </w:p>
    <w:p w:rsidR="00D1414E" w:rsidRPr="00EB78B8" w:rsidRDefault="00D1414E" w:rsidP="00A804F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</w:p>
    <w:p w:rsidR="005C12BD" w:rsidRPr="00EB78B8" w:rsidRDefault="005C12BD" w:rsidP="00A804F1">
      <w:pPr>
        <w:pStyle w:val="NoSpacing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>Tablica 1. Opasne supstance prema zakonskim propisma</w:t>
      </w:r>
    </w:p>
    <w:p w:rsidR="005C12BD" w:rsidRPr="00EB78B8" w:rsidRDefault="005C12BD" w:rsidP="00A804F1">
      <w:pPr>
        <w:pStyle w:val="NoSpacing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5019"/>
        <w:gridCol w:w="1495"/>
        <w:gridCol w:w="1406"/>
      </w:tblGrid>
      <w:tr w:rsidR="00EB78B8" w:rsidRPr="00EB78B8" w:rsidTr="00763CA1">
        <w:tc>
          <w:tcPr>
            <w:tcW w:w="6161" w:type="dxa"/>
            <w:gridSpan w:val="2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Kolona 1.</w:t>
            </w:r>
          </w:p>
        </w:tc>
        <w:tc>
          <w:tcPr>
            <w:tcW w:w="1495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Kolona 2. </w:t>
            </w:r>
          </w:p>
        </w:tc>
        <w:tc>
          <w:tcPr>
            <w:tcW w:w="1406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Kolona 3. </w:t>
            </w:r>
          </w:p>
        </w:tc>
      </w:tr>
      <w:tr w:rsidR="00EB78B8" w:rsidRPr="00EB78B8" w:rsidTr="00763CA1">
        <w:tc>
          <w:tcPr>
            <w:tcW w:w="1142" w:type="dxa"/>
            <w:shd w:val="clear" w:color="auto" w:fill="auto"/>
            <w:vAlign w:val="center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Redni</w:t>
            </w: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>broj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Kategorije opasnih supstanci</w:t>
            </w:r>
          </w:p>
        </w:tc>
        <w:tc>
          <w:tcPr>
            <w:tcW w:w="2901" w:type="dxa"/>
            <w:gridSpan w:val="2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Donje granične količine opasnih supstanci (u tonama)</w:t>
            </w:r>
          </w:p>
        </w:tc>
      </w:tr>
      <w:tr w:rsidR="00EB78B8" w:rsidRPr="00EB78B8" w:rsidTr="00763CA1">
        <w:tc>
          <w:tcPr>
            <w:tcW w:w="1142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male količine</w:t>
            </w:r>
          </w:p>
        </w:tc>
        <w:tc>
          <w:tcPr>
            <w:tcW w:w="1406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velike količine</w:t>
            </w:r>
          </w:p>
        </w:tc>
      </w:tr>
      <w:tr w:rsidR="00EB78B8" w:rsidRPr="00EB78B8" w:rsidTr="00763CA1">
        <w:tc>
          <w:tcPr>
            <w:tcW w:w="1142" w:type="dxa"/>
            <w:shd w:val="clear" w:color="auto" w:fill="D0CECE"/>
          </w:tcPr>
          <w:p w:rsidR="005C12BD" w:rsidRPr="00EB78B8" w:rsidRDefault="005C12BD" w:rsidP="00A804F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D0CECE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Odjeljak P – FIZIČKE OPASNOSTI</w:t>
            </w:r>
          </w:p>
        </w:tc>
        <w:tc>
          <w:tcPr>
            <w:tcW w:w="1495" w:type="dxa"/>
            <w:shd w:val="clear" w:color="auto" w:fill="D0CECE"/>
          </w:tcPr>
          <w:p w:rsidR="005C12BD" w:rsidRPr="00EB78B8" w:rsidRDefault="005C12BD" w:rsidP="00A804F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D0CECE"/>
          </w:tcPr>
          <w:p w:rsidR="005C12BD" w:rsidRPr="00EB78B8" w:rsidRDefault="005C12BD" w:rsidP="00A804F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B78B8" w:rsidRPr="00EB78B8" w:rsidTr="00A804F1">
        <w:tc>
          <w:tcPr>
            <w:tcW w:w="1142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019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P1a EKSPLOZIVI (vidi Uputu 8. ovoga Priloga)</w:t>
            </w:r>
          </w:p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— Nestabilni eksplozivi ili</w:t>
            </w:r>
          </w:p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— Eksplozivi, odlomci 1.1., 1.2., 1.3., 1.5. ili 1.6., ili</w:t>
            </w:r>
          </w:p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— Supstance ili smjese koje imaju eksplozivne osobine u skladu sa metodom A.14 Uredbe Komisije (EZ) br. 440/2008 od 30. maja 2008. o utvrđivanju ispitnih metoda u skladu sa Uredbom (EZ) br. 1907/2006 Evropskoga parlamenta i Vijeća o registraciji, evaluaciji, autorizaciji i ograničavanju hemikalija (REACH) (Tekst značajan za EGP) (SL L 142, 31.5.2008., str. 1.) (vidi Uputu 9. ovoga Priloga) i ne pripadaju razredima opasnosti organskih peroksida ili samoreagirajućih supstanci i smjesa</w:t>
            </w:r>
          </w:p>
        </w:tc>
        <w:tc>
          <w:tcPr>
            <w:tcW w:w="1495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5C12BD" w:rsidRPr="00EB78B8" w:rsidTr="00A804F1">
        <w:tc>
          <w:tcPr>
            <w:tcW w:w="1142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019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P1b EKSPLOZIVI (vidjeti bilješku 8.) </w:t>
            </w:r>
          </w:p>
          <w:p w:rsidR="005C12BD" w:rsidRPr="00EB78B8" w:rsidRDefault="005C12BD" w:rsidP="00A804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Eksplozivi, pododjeljak 1.4. (vidjeti bilješku 10.)</w:t>
            </w:r>
          </w:p>
        </w:tc>
        <w:tc>
          <w:tcPr>
            <w:tcW w:w="1495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06" w:type="dxa"/>
            <w:shd w:val="clear" w:color="auto" w:fill="auto"/>
          </w:tcPr>
          <w:p w:rsidR="005C12BD" w:rsidRPr="00EB78B8" w:rsidRDefault="005C12BD" w:rsidP="00A804F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B7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200</w:t>
            </w:r>
          </w:p>
        </w:tc>
      </w:tr>
    </w:tbl>
    <w:p w:rsidR="005C12BD" w:rsidRPr="00EB78B8" w:rsidRDefault="005C12BD" w:rsidP="00A804F1">
      <w:pPr>
        <w:pStyle w:val="NoSpacing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F21E0D" w:rsidRPr="00EB78B8" w:rsidRDefault="008C1D4A" w:rsidP="00A804F1">
      <w:pPr>
        <w:pStyle w:val="Heading2"/>
        <w:rPr>
          <w:rFonts w:cs="Arial"/>
          <w:color w:val="000000" w:themeColor="text1"/>
          <w:szCs w:val="24"/>
        </w:rPr>
      </w:pPr>
      <w:bookmarkStart w:id="0" w:name="_Toc85057338"/>
      <w:bookmarkStart w:id="1" w:name="_Toc85105061"/>
      <w:bookmarkStart w:id="2" w:name="_Toc85105280"/>
      <w:r>
        <w:rPr>
          <w:rFonts w:cs="Arial"/>
          <w:color w:val="000000" w:themeColor="text1"/>
          <w:szCs w:val="24"/>
        </w:rPr>
        <w:t>3.1. Ob</w:t>
      </w:r>
      <w:r w:rsidR="00F21E0D" w:rsidRPr="00EB78B8">
        <w:rPr>
          <w:rFonts w:cs="Arial"/>
          <w:color w:val="000000" w:themeColor="text1"/>
          <w:szCs w:val="24"/>
        </w:rPr>
        <w:t>veza izrade Izvješća o stanju sigurnosti</w:t>
      </w:r>
      <w:bookmarkEnd w:id="0"/>
      <w:bookmarkEnd w:id="1"/>
      <w:bookmarkEnd w:id="2"/>
    </w:p>
    <w:p w:rsidR="005C12BD" w:rsidRPr="00EB78B8" w:rsidRDefault="00F21E0D" w:rsidP="00A855BB">
      <w:pPr>
        <w:pStyle w:val="NoSpacing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U skladu sa stavom (1) člana 102. i stavom (1) člana 107. Zakona o zaštiti okoliša („Službene novine Federacije BiH“, broj: 15/21), ukoliko operater utvrdi  </w:t>
      </w: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 xml:space="preserve">da je u njegovom pogonu, postrojenju i/ili skladištu prisutna velika količina opasne supstance, </w:t>
      </w: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lastRenderedPageBreak/>
        <w:t xml:space="preserve">odnosno da pogon, postrojenje i/ili skladište pripada višem razredu u skladu sa Prilogom Ia., Dio 1. kolona 3. i Dio 2. kolona 3. </w:t>
      </w:r>
      <w:r w:rsidRPr="00EB78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Pravilnik</w:t>
      </w:r>
      <w:r w:rsidR="005C12BD" w:rsidRPr="00EB78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EB78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pogonima, postrojenjima i skladištima u kojima su prisutne opasne supstance koje mogu dovesti do nesreća većih razmjera ("Službene novine Federacije BiH", broj: 51/21)</w:t>
      </w:r>
      <w:r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, osim dokumenata iz </w:t>
      </w: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>čl. 7. i 8. Pravilnika,</w:t>
      </w:r>
      <w:r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obaveza skladišta opasnih supstanci koje mogu izazvati nesreće većih razmjera </w:t>
      </w:r>
      <w:r w:rsidR="005C12BD"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>operater</w:t>
      </w:r>
      <w:r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je </w:t>
      </w:r>
      <w:r w:rsidR="005C12BD"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>dužan izraditi i:</w:t>
      </w:r>
    </w:p>
    <w:p w:rsidR="00F21E0D" w:rsidRPr="00EB78B8" w:rsidRDefault="00F21E0D" w:rsidP="00A804F1">
      <w:pPr>
        <w:pStyle w:val="NoSpacing"/>
        <w:numPr>
          <w:ilvl w:val="0"/>
          <w:numId w:val="4"/>
        </w:num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>Izvješće</w:t>
      </w:r>
      <w:r w:rsidR="005C12BD"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o stanju sigurnosti</w:t>
      </w:r>
      <w:r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>:</w:t>
      </w:r>
    </w:p>
    <w:p w:rsidR="00F21E0D" w:rsidRPr="00EB78B8" w:rsidRDefault="00F21E0D" w:rsidP="00A804F1">
      <w:pPr>
        <w:pStyle w:val="NoSpacing"/>
        <w:numPr>
          <w:ilvl w:val="0"/>
          <w:numId w:val="4"/>
        </w:num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Informaciju o sigurnosnim mjerama i </w:t>
      </w:r>
    </w:p>
    <w:p w:rsidR="00F21E0D" w:rsidRPr="00EB78B8" w:rsidRDefault="00F21E0D" w:rsidP="00A804F1">
      <w:pPr>
        <w:pStyle w:val="NoSpacing"/>
        <w:numPr>
          <w:ilvl w:val="0"/>
          <w:numId w:val="4"/>
        </w:numPr>
        <w:jc w:val="both"/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Unutrašnji plan intervencija.  </w:t>
      </w:r>
    </w:p>
    <w:p w:rsidR="005C12BD" w:rsidRPr="00EB78B8" w:rsidRDefault="005C12BD" w:rsidP="00A804F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</w:p>
    <w:p w:rsidR="0082484E" w:rsidRPr="00EB78B8" w:rsidRDefault="008C1D4A" w:rsidP="00A804F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4</w:t>
      </w:r>
      <w:r w:rsidR="0082484E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. Sadržaj Izvješa o stanju sigurnosti</w:t>
      </w:r>
    </w:p>
    <w:p w:rsidR="009A2A3A" w:rsidRPr="00EB78B8" w:rsidRDefault="0082484E" w:rsidP="00A804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Izvješće o stanju sigurnosti izrađeno je u listopadu 2021. godine koji je utvrđena opasnost od nesreća većih razmjera te na temelju istog osiguran sistem upravljanja sigurnošću unutar lokacije skladišta na kojem može doći do nesreće većih razmjera i to: skladišni prostor u kojem se nalaze eksplozivne tvari, manipulativne površine na kojima se vrši utovar-istovar eksplozivnih tvari i transportne puteve unutar lokacije.</w:t>
      </w:r>
    </w:p>
    <w:p w:rsidR="0082484E" w:rsidRPr="004023BC" w:rsidRDefault="0082484E" w:rsidP="004023B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Operater je izvršio analizu i procjenu rizika od nastanka većih nesreća u  sklopu čega je razradio tri moguća scenarija velikih nesreća.</w:t>
      </w:r>
      <w:r w:rsidR="009A2A3A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Događaji koji nakon analize imaju prihvatljiv rizik</w:t>
      </w:r>
      <w:r w:rsidR="009A2A3A" w:rsidRPr="00EB78B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 xml:space="preserve"> s obzirom da su poduzete dovoljne mjere za smanjenje razine rizika u privrednom društvu INTERPROMET d.o.o. Vitez</w:t>
      </w:r>
      <w:r w:rsidR="009A2A3A" w:rsidRPr="00EB78B8">
        <w:rPr>
          <w:rFonts w:ascii="Arial" w:eastAsia="Arial" w:hAnsi="Arial" w:cs="Arial"/>
          <w:color w:val="000000" w:themeColor="text1"/>
          <w:sz w:val="24"/>
          <w:szCs w:val="24"/>
        </w:rPr>
        <w:t xml:space="preserve"> od neželjene situacije</w:t>
      </w: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82484E" w:rsidRPr="00EB78B8" w:rsidRDefault="0082484E" w:rsidP="00A804F1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Kriterij za odabir većih iznenadnih događaja</w:t>
      </w:r>
      <w:r w:rsidR="009A2A3A" w:rsidRPr="00EB78B8">
        <w:rPr>
          <w:rFonts w:ascii="Arial" w:eastAsia="Arial" w:hAnsi="Arial" w:cs="Arial"/>
          <w:color w:val="000000" w:themeColor="text1"/>
          <w:sz w:val="24"/>
          <w:szCs w:val="24"/>
        </w:rPr>
        <w:t xml:space="preserve"> su:</w:t>
      </w:r>
    </w:p>
    <w:p w:rsidR="0082484E" w:rsidRPr="00EB78B8" w:rsidRDefault="0082484E" w:rsidP="00A804F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right="20" w:hanging="36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 xml:space="preserve">Svaki požar, eksplozija ili nekontrolirano propuštanje u okoliš opasnih tvari iznad 5 % količina temeljem popisa iz </w:t>
      </w:r>
      <w:r w:rsidR="009A2A3A" w:rsidRPr="00EB78B8">
        <w:rPr>
          <w:rFonts w:ascii="Arial" w:eastAsia="Arial" w:hAnsi="Arial" w:cs="Arial"/>
          <w:color w:val="000000" w:themeColor="text1"/>
          <w:sz w:val="24"/>
          <w:szCs w:val="24"/>
        </w:rPr>
        <w:t>Pravilnika</w:t>
      </w: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;</w:t>
      </w:r>
    </w:p>
    <w:p w:rsidR="0082484E" w:rsidRPr="00EB78B8" w:rsidRDefault="0082484E" w:rsidP="00A804F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Iznenadni događaj koji za posljedicu mogu imati: Smrtnu povredu;</w:t>
      </w:r>
    </w:p>
    <w:p w:rsidR="0082484E" w:rsidRPr="00EB78B8" w:rsidRDefault="0082484E" w:rsidP="00A804F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Povrede 6 ili više osoba na postrojenju s potrebom hospitalizacije više od 24 h;</w:t>
      </w:r>
    </w:p>
    <w:p w:rsidR="0082484E" w:rsidRPr="00EB78B8" w:rsidRDefault="0082484E" w:rsidP="00A804F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Jedna osoba u zoni od rizika hospitalizirana više od 24 h;</w:t>
      </w:r>
    </w:p>
    <w:p w:rsidR="0082484E" w:rsidRPr="00EB78B8" w:rsidRDefault="0082484E" w:rsidP="00A804F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Oštećenje jednog ili više objekata za boravak osoba u zoni rizika;</w:t>
      </w:r>
    </w:p>
    <w:p w:rsidR="0082484E" w:rsidRPr="00EB78B8" w:rsidRDefault="0082484E" w:rsidP="00A804F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Evakuacija/zbrinjavanje više osoba iznad 2 h (broj osoba x broj sati = 500);</w:t>
      </w:r>
    </w:p>
    <w:p w:rsidR="0082484E" w:rsidRPr="00A855BB" w:rsidRDefault="0082484E" w:rsidP="00A804F1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right="20" w:hanging="361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Prekid snabdijevanja osnovnim energentima zoni rizika više od 2 h za više osoba (broj osoba x broj sati = 1000).</w:t>
      </w:r>
    </w:p>
    <w:p w:rsidR="0082484E" w:rsidRPr="00EB78B8" w:rsidRDefault="0082484E" w:rsidP="00B8011C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Procjena učestalosti i mogućih posljedica događaja se temelji na:</w:t>
      </w:r>
    </w:p>
    <w:p w:rsidR="0082484E" w:rsidRPr="008C1D4A" w:rsidRDefault="0082484E" w:rsidP="00B8011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Podacima o dosadašnjim događajima iz statističkih podataka i dostupnih podataka za slična postrojenja;</w:t>
      </w:r>
    </w:p>
    <w:p w:rsidR="0082484E" w:rsidRPr="00EB78B8" w:rsidRDefault="0082484E" w:rsidP="00B8011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36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Podacima o broju i učestalosti radnih operacija na lokaciji privrednog društva Interpromet d.o.o. Vitez;</w:t>
      </w:r>
    </w:p>
    <w:p w:rsidR="0082484E" w:rsidRPr="00EB78B8" w:rsidRDefault="0082484E" w:rsidP="00B8011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right="20" w:hanging="36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Provedenim tehničkim i organizacijskim mjerama za smanjenje mogućnosti nastanka i ublažavanje posljedica neželjenih događaja;</w:t>
      </w:r>
    </w:p>
    <w:p w:rsidR="0082484E" w:rsidRPr="008C1D4A" w:rsidRDefault="0082484E" w:rsidP="00B8011C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Karakteristikama pojedinih opasnih tvari iz procesa, prosječnim meteorološkim uvjetima za područje postrojenja, prosječnom broju spojnih mjesta na instaliranoj opremi privrednog društva Interpromet d.o.o. Vitez itd.</w:t>
      </w:r>
    </w:p>
    <w:p w:rsidR="0082484E" w:rsidRPr="00EB78B8" w:rsidRDefault="0082484E" w:rsidP="00B8011C">
      <w:pPr>
        <w:numPr>
          <w:ilvl w:val="0"/>
          <w:numId w:val="9"/>
        </w:numPr>
        <w:spacing w:after="0" w:line="240" w:lineRule="auto"/>
        <w:ind w:left="200" w:right="2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Za sve iznenadne događaje koji su prepoznati i smješteni u crvenom i žutom području potrebno je izvršiti detaljniju analizu poduzetih mjera temeljem zakonskih i podzakonskih propisa i prihvatljive prakse kako bi se utvrdilo u kojoj mjeri je poslodavac osigurao primjenu najbolje dostupne tehnologije i prakse po pitanju sigurnosti postrojenja .</w:t>
      </w:r>
    </w:p>
    <w:p w:rsidR="0082484E" w:rsidRPr="00EB78B8" w:rsidRDefault="0082484E" w:rsidP="00B8011C">
      <w:pPr>
        <w:numPr>
          <w:ilvl w:val="0"/>
          <w:numId w:val="9"/>
        </w:numPr>
        <w:spacing w:after="0" w:line="240" w:lineRule="auto"/>
        <w:ind w:left="200" w:right="2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t>Poduzete tehničke i organizacijske mjere bitno umanjuju moguću učestalost i posljedice iznenadnog događaja.</w:t>
      </w:r>
    </w:p>
    <w:p w:rsidR="0082484E" w:rsidRPr="00EB78B8" w:rsidRDefault="0082484E" w:rsidP="00B8011C">
      <w:pPr>
        <w:numPr>
          <w:ilvl w:val="0"/>
          <w:numId w:val="9"/>
        </w:numPr>
        <w:spacing w:after="0" w:line="240" w:lineRule="auto"/>
        <w:ind w:left="200" w:right="2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EB78B8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Početni podaci za analizu rizika temelje se na dostupnim podacima lokacije i statističkim podacima za slična postrojenja, prikupljenih iz raznih izvora.</w:t>
      </w:r>
    </w:p>
    <w:p w:rsidR="0082484E" w:rsidRPr="00EB78B8" w:rsidRDefault="0082484E" w:rsidP="00B801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</w:p>
    <w:p w:rsidR="00DF05B4" w:rsidRPr="00A855BB" w:rsidRDefault="00A804F1" w:rsidP="00A855B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5</w:t>
      </w:r>
      <w:r w:rsidR="0016530A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. </w:t>
      </w:r>
      <w:r w:rsidR="00314CBF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U</w:t>
      </w:r>
      <w:r w:rsidR="0016530A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slovi i mjere za spr</w:t>
      </w:r>
      <w:r w:rsidR="00314CBF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ečavanje nesreća većih razmjera</w:t>
      </w:r>
      <w:r w:rsidR="002E2633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</w:p>
    <w:p w:rsidR="00314CBF" w:rsidRPr="00EB78B8" w:rsidRDefault="00314CBF" w:rsidP="00A804F1">
      <w:pPr>
        <w:pStyle w:val="NoSpacing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>Izvješćem o stanju sigurnosti, operater je dokazao:</w:t>
      </w:r>
    </w:p>
    <w:p w:rsidR="00314CBF" w:rsidRPr="00EB78B8" w:rsidRDefault="00314CBF" w:rsidP="00A804F1">
      <w:pPr>
        <w:pStyle w:val="NoSpacing"/>
        <w:numPr>
          <w:ilvl w:val="0"/>
          <w:numId w:val="5"/>
        </w:numPr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>da je započeo sa primjenom Plana sprečavanja nesreća većih razmjera i sistema upravljanja sigurnošću za njegovo provođenje u skladu sa informacijama utvrđenim u stav</w:t>
      </w:r>
      <w:r w:rsidR="009A2A3A" w:rsidRPr="00EB78B8">
        <w:rPr>
          <w:rFonts w:ascii="Arial" w:hAnsi="Arial" w:cs="Arial"/>
          <w:noProof/>
          <w:color w:val="000000" w:themeColor="text1"/>
          <w:sz w:val="24"/>
          <w:szCs w:val="24"/>
        </w:rPr>
        <w:t>k</w:t>
      </w: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>u (4) član</w:t>
      </w:r>
      <w:r w:rsidR="009A2A3A" w:rsidRPr="00EB78B8">
        <w:rPr>
          <w:rFonts w:ascii="Arial" w:hAnsi="Arial" w:cs="Arial"/>
          <w:noProof/>
          <w:color w:val="000000" w:themeColor="text1"/>
          <w:sz w:val="24"/>
          <w:szCs w:val="24"/>
        </w:rPr>
        <w:t>k</w:t>
      </w: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 xml:space="preserve">a 8. </w:t>
      </w:r>
      <w:r w:rsidRPr="00EB78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Pravilnik</w:t>
      </w:r>
      <w:r w:rsidR="009A2A3A" w:rsidRPr="00EB78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EB78B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pogonima, postrojenjima i skladištima u kojima su prisutne opasne supstance koje mogu dovesti do nesreća većih razmjera ("Službene novine Federacije BiH", broj: 51/21)</w:t>
      </w: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>;</w:t>
      </w:r>
    </w:p>
    <w:p w:rsidR="00314CBF" w:rsidRPr="00EB78B8" w:rsidRDefault="00314CBF" w:rsidP="00A804F1">
      <w:pPr>
        <w:pStyle w:val="NoSpacing"/>
        <w:numPr>
          <w:ilvl w:val="0"/>
          <w:numId w:val="5"/>
        </w:numPr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>da je identifikovao opasnosti od nesreća većih razmjera i mogući scenariji nesreće većih razmjera, te da su preduzete potrebne mjere da bi se te nesreće spriječile i da bi se ograničile njihove posljedice za zdravlje ljudi i okoliš;</w:t>
      </w:r>
    </w:p>
    <w:p w:rsidR="00314CBF" w:rsidRPr="00EB78B8" w:rsidRDefault="00314CBF" w:rsidP="00A804F1">
      <w:pPr>
        <w:pStyle w:val="NoSpacing"/>
        <w:numPr>
          <w:ilvl w:val="0"/>
          <w:numId w:val="5"/>
        </w:numPr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>da vodi računa o dovoljnoj sigurnosti i pouzdanosti pri projektovanju, izgradnji, funkcionisanju i održavanju svakog pogona, postrojenja, skladišta, opreme i infrastrukture za njegovo funkcioniranje, koji su povezani sa opasnostima od nesreća većih razmjera unutar objekta;</w:t>
      </w:r>
    </w:p>
    <w:p w:rsidR="00314CBF" w:rsidRPr="00EB78B8" w:rsidRDefault="00314CBF" w:rsidP="00A804F1">
      <w:pPr>
        <w:pStyle w:val="NoSpacing"/>
        <w:numPr>
          <w:ilvl w:val="0"/>
          <w:numId w:val="5"/>
        </w:numPr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>da je izradio unutrašnji planovi za slučaj opasnosti i pružanja informacija da bi  omogućio izradu vanjskog plana za slučaj opasnosti;</w:t>
      </w:r>
    </w:p>
    <w:p w:rsidR="00314CBF" w:rsidRPr="00A855BB" w:rsidRDefault="00314CBF" w:rsidP="00A804F1">
      <w:pPr>
        <w:pStyle w:val="NoSpacing"/>
        <w:numPr>
          <w:ilvl w:val="0"/>
          <w:numId w:val="5"/>
        </w:numPr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noProof/>
          <w:color w:val="000000" w:themeColor="text1"/>
          <w:sz w:val="24"/>
          <w:szCs w:val="24"/>
        </w:rPr>
        <w:t>pružio dovoljno informacija nadležnom organu da bi omogućio donošenje odluka u pogledu identifikacije novih aktivnosti ili promjena na postojećim objektima.</w:t>
      </w:r>
    </w:p>
    <w:p w:rsidR="001F795C" w:rsidRPr="007C7E5E" w:rsidRDefault="00A804F1" w:rsidP="007C7E5E">
      <w:pPr>
        <w:pStyle w:val="Heading2"/>
        <w:rPr>
          <w:color w:val="000000" w:themeColor="text1"/>
          <w:szCs w:val="24"/>
        </w:rPr>
      </w:pPr>
      <w:r w:rsidRPr="00EB78B8">
        <w:rPr>
          <w:color w:val="000000" w:themeColor="text1"/>
          <w:szCs w:val="24"/>
        </w:rPr>
        <w:t>5</w:t>
      </w:r>
      <w:r w:rsidR="001F795C" w:rsidRPr="00EB78B8">
        <w:rPr>
          <w:color w:val="000000" w:themeColor="text1"/>
          <w:szCs w:val="24"/>
        </w:rPr>
        <w:t>.1. Mogući uzroci opasnosti  od vanrednog događaja</w:t>
      </w:r>
    </w:p>
    <w:p w:rsidR="001F795C" w:rsidRPr="00EB78B8" w:rsidRDefault="001F795C" w:rsidP="00A804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color w:val="000000" w:themeColor="text1"/>
          <w:sz w:val="24"/>
          <w:szCs w:val="24"/>
        </w:rPr>
        <w:t>Uzroke opasnosti od vanrednog događaja moguće je procijeniti na osnovu prisustva - zastupljenosti vrste i količine različitih materijala koji se koriste u tehnološkom procesu i tehničkih karakteristika  pojedinih uređaja.</w:t>
      </w:r>
    </w:p>
    <w:p w:rsidR="001F795C" w:rsidRPr="00EB78B8" w:rsidRDefault="001F795C" w:rsidP="00A804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color w:val="000000" w:themeColor="text1"/>
          <w:sz w:val="24"/>
          <w:szCs w:val="24"/>
        </w:rPr>
        <w:t>Najčešći uzroci su:</w:t>
      </w:r>
    </w:p>
    <w:p w:rsidR="001F795C" w:rsidRPr="00EB78B8" w:rsidRDefault="001F795C" w:rsidP="00A804F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color w:val="000000" w:themeColor="text1"/>
          <w:sz w:val="24"/>
          <w:szCs w:val="24"/>
        </w:rPr>
        <w:t xml:space="preserve">nepažnja, nemar ili nebriga pri radu ili nepravilno rukovanje; </w:t>
      </w:r>
    </w:p>
    <w:p w:rsidR="001F795C" w:rsidRPr="00EB78B8" w:rsidRDefault="001F795C" w:rsidP="00A804F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color w:val="000000" w:themeColor="text1"/>
          <w:sz w:val="24"/>
          <w:szCs w:val="24"/>
        </w:rPr>
        <w:t>nepoštivanje tehnoloških uputstava i procedura u tehnološkom procesu proizvodnje;</w:t>
      </w:r>
    </w:p>
    <w:p w:rsidR="001F795C" w:rsidRPr="00EB78B8" w:rsidRDefault="001F795C" w:rsidP="00A804F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color w:val="000000" w:themeColor="text1"/>
          <w:sz w:val="24"/>
          <w:szCs w:val="24"/>
        </w:rPr>
        <w:t>oštećenja na pojedinim uređajima ;</w:t>
      </w:r>
    </w:p>
    <w:p w:rsidR="001F795C" w:rsidRPr="00EB78B8" w:rsidRDefault="001F795C" w:rsidP="00A804F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color w:val="000000" w:themeColor="text1"/>
          <w:sz w:val="24"/>
          <w:szCs w:val="24"/>
        </w:rPr>
        <w:t>tehnološke eksplozije, požari ili uopće eksplozije;</w:t>
      </w:r>
    </w:p>
    <w:p w:rsidR="001F795C" w:rsidRPr="00EB78B8" w:rsidRDefault="001F795C" w:rsidP="00A804F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color w:val="000000" w:themeColor="text1"/>
          <w:sz w:val="24"/>
          <w:szCs w:val="24"/>
        </w:rPr>
        <w:t>drugi uzroci, potresi, diverzije i sl.</w:t>
      </w:r>
    </w:p>
    <w:p w:rsidR="007C7E5E" w:rsidRPr="00A855BB" w:rsidRDefault="007C7E5E" w:rsidP="007C7E5E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>Oko pojasa skladišta (i bivše tvornice Vitezit) postoji sigurnosni</w:t>
      </w:r>
      <w:r w:rsidRPr="00A855BB">
        <w:rPr>
          <w:rFonts w:cs="Arial"/>
          <w:sz w:val="24"/>
          <w:szCs w:val="24"/>
        </w:rPr>
        <w:t xml:space="preserve"> pojas unutar kojeg nije dozvol</w:t>
      </w:r>
      <w:r w:rsidRPr="00A855BB">
        <w:rPr>
          <w:rFonts w:cs="Arial"/>
          <w:sz w:val="24"/>
          <w:szCs w:val="24"/>
        </w:rPr>
        <w:t>j</w:t>
      </w:r>
      <w:r w:rsidRPr="00A855BB">
        <w:rPr>
          <w:rFonts w:cs="Arial"/>
          <w:sz w:val="24"/>
          <w:szCs w:val="24"/>
        </w:rPr>
        <w:t>e</w:t>
      </w:r>
      <w:r w:rsidRPr="00A855BB">
        <w:rPr>
          <w:rFonts w:cs="Arial"/>
          <w:sz w:val="24"/>
          <w:szCs w:val="24"/>
        </w:rPr>
        <w:t>na nikakva gradnja.</w:t>
      </w:r>
    </w:p>
    <w:p w:rsidR="007C7E5E" w:rsidRPr="00A855BB" w:rsidRDefault="007C7E5E" w:rsidP="007C7E5E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>- U redovnom radu skla</w:t>
      </w:r>
      <w:r w:rsidRPr="00A855BB">
        <w:rPr>
          <w:rFonts w:cs="Arial"/>
          <w:sz w:val="24"/>
          <w:szCs w:val="24"/>
        </w:rPr>
        <w:t>dištenja i tr</w:t>
      </w:r>
      <w:r w:rsidRPr="00A855BB">
        <w:rPr>
          <w:rFonts w:cs="Arial"/>
          <w:sz w:val="24"/>
          <w:szCs w:val="24"/>
        </w:rPr>
        <w:t>anspo</w:t>
      </w:r>
      <w:r w:rsidRPr="00A855BB">
        <w:rPr>
          <w:rFonts w:cs="Arial"/>
          <w:sz w:val="24"/>
          <w:szCs w:val="24"/>
        </w:rPr>
        <w:t>rta uz postupanje po uputama za siguran način postupanja i rada i uz pridržavanje mjera sigurnosti i zaštite , uz redovno održavanje uređaja, objekata i druge opreme ne bi smjelo dolaziti do nesreća većih razmjera.</w:t>
      </w:r>
    </w:p>
    <w:p w:rsidR="007C7E5E" w:rsidRPr="00A855BB" w:rsidRDefault="007C7E5E" w:rsidP="007C7E5E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 xml:space="preserve">- </w:t>
      </w:r>
      <w:r w:rsidRPr="00A855BB">
        <w:rPr>
          <w:rFonts w:cs="Arial"/>
          <w:sz w:val="24"/>
          <w:szCs w:val="24"/>
        </w:rPr>
        <w:t>Najgori mogući scenarij može nastati uslijed organiziranog kriminala, terorizma, sabotaže, psihičke nestabi</w:t>
      </w:r>
      <w:r w:rsidRPr="00A855BB">
        <w:rPr>
          <w:rFonts w:cs="Arial"/>
          <w:sz w:val="24"/>
          <w:szCs w:val="24"/>
        </w:rPr>
        <w:t>l</w:t>
      </w:r>
      <w:r w:rsidRPr="00A855BB">
        <w:rPr>
          <w:rFonts w:cs="Arial"/>
          <w:sz w:val="24"/>
          <w:szCs w:val="24"/>
        </w:rPr>
        <w:t>nosti zaposlenika i sl, zatim zbog urušavanja objekta, oštećenja gromobranske instalaci</w:t>
      </w:r>
      <w:r w:rsidRPr="00A855BB">
        <w:rPr>
          <w:rFonts w:cs="Arial"/>
          <w:sz w:val="24"/>
          <w:szCs w:val="24"/>
        </w:rPr>
        <w:t>je ili zemljotresa, a ova vjeroj</w:t>
      </w:r>
      <w:r w:rsidRPr="00A855BB">
        <w:rPr>
          <w:rFonts w:cs="Arial"/>
          <w:sz w:val="24"/>
          <w:szCs w:val="24"/>
        </w:rPr>
        <w:t>atnoća iznosi 10</w:t>
      </w:r>
      <w:r w:rsidRPr="00A855BB">
        <w:rPr>
          <w:rFonts w:cs="Arial"/>
          <w:sz w:val="24"/>
          <w:szCs w:val="24"/>
          <w:vertAlign w:val="superscript"/>
        </w:rPr>
        <w:t>-6</w:t>
      </w:r>
      <w:r w:rsidRPr="00A855BB">
        <w:rPr>
          <w:rFonts w:cs="Arial"/>
          <w:sz w:val="24"/>
          <w:szCs w:val="24"/>
        </w:rPr>
        <w:t xml:space="preserve"> nesreća godišnje. Scenariji mogućih nesreća dati su u izvje</w:t>
      </w:r>
      <w:r w:rsidRPr="00A855BB">
        <w:rPr>
          <w:rFonts w:cs="Arial"/>
          <w:sz w:val="24"/>
          <w:szCs w:val="24"/>
        </w:rPr>
        <w:t>š</w:t>
      </w:r>
      <w:r w:rsidRPr="00A855BB">
        <w:rPr>
          <w:rFonts w:cs="Arial"/>
          <w:sz w:val="24"/>
          <w:szCs w:val="24"/>
        </w:rPr>
        <w:t>ću o stanju sigurnosti, a preventivne mjere za suzbijanje rizika i svođenje na najmanju moguću mjeru kao i ograničavanje eventualni</w:t>
      </w:r>
      <w:r w:rsidRPr="00A855BB">
        <w:rPr>
          <w:rFonts w:cs="Arial"/>
          <w:sz w:val="24"/>
          <w:szCs w:val="24"/>
        </w:rPr>
        <w:t>h posljedica nesreće, dokumentir</w:t>
      </w:r>
      <w:r w:rsidRPr="00A855BB">
        <w:rPr>
          <w:rFonts w:cs="Arial"/>
          <w:sz w:val="24"/>
          <w:szCs w:val="24"/>
        </w:rPr>
        <w:t>ano je u priloženoj dokumentaciji koja se mora redovno ažurirati.</w:t>
      </w:r>
    </w:p>
    <w:p w:rsidR="007C7E5E" w:rsidRPr="00A855BB" w:rsidRDefault="007C7E5E" w:rsidP="007C7E5E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 xml:space="preserve">- </w:t>
      </w:r>
      <w:r w:rsidRPr="00A855BB">
        <w:rPr>
          <w:rFonts w:cs="Arial"/>
          <w:sz w:val="24"/>
          <w:szCs w:val="24"/>
        </w:rPr>
        <w:t>Svi radnici u skladištu moraju redovno prolaziti radno osposobljavanje za rukovanje sa eksplozivom i moraju posjedovat</w:t>
      </w:r>
      <w:r w:rsidRPr="00A855BB">
        <w:rPr>
          <w:rFonts w:cs="Arial"/>
          <w:sz w:val="24"/>
          <w:szCs w:val="24"/>
        </w:rPr>
        <w:t>i uvjerenje o zdravstvenoj sposo</w:t>
      </w:r>
      <w:r w:rsidRPr="00A855BB">
        <w:rPr>
          <w:rFonts w:cs="Arial"/>
          <w:sz w:val="24"/>
          <w:szCs w:val="24"/>
        </w:rPr>
        <w:t>bnosti radnika od ovlaštene specijalističke medicine rada.</w:t>
      </w:r>
    </w:p>
    <w:p w:rsidR="007C7E5E" w:rsidRPr="00A855BB" w:rsidRDefault="007C7E5E" w:rsidP="007C7E5E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lastRenderedPageBreak/>
        <w:t>- Operater mora redovno organizir</w:t>
      </w:r>
      <w:r w:rsidRPr="00A855BB">
        <w:rPr>
          <w:rFonts w:cs="Arial"/>
          <w:sz w:val="24"/>
          <w:szCs w:val="24"/>
        </w:rPr>
        <w:t>ati vježbe evakuacije i spašavanja o čemu sačinjava zapisnik.</w:t>
      </w:r>
    </w:p>
    <w:p w:rsidR="007C7E5E" w:rsidRPr="00A855BB" w:rsidRDefault="007C7E5E" w:rsidP="007C7E5E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 xml:space="preserve">- </w:t>
      </w:r>
      <w:r w:rsidRPr="00A855BB">
        <w:rPr>
          <w:rFonts w:cs="Arial"/>
          <w:sz w:val="24"/>
          <w:szCs w:val="24"/>
        </w:rPr>
        <w:t>Operater je obavezan skladištiti eksplozivne suspstance u originalnom pakovanju, zatim smještati ih na paletama i grupirati u stokovima. Omogućiti nesmetan prilaz ambalaži sa eksplozivnim supstancama koje moraju biti složene po vrstama i serijama, sa čitljivim natpisima.</w:t>
      </w:r>
    </w:p>
    <w:p w:rsidR="007C7E5E" w:rsidRPr="00A855BB" w:rsidRDefault="007C7E5E" w:rsidP="007C7E5E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>- N</w:t>
      </w:r>
      <w:r w:rsidRPr="00A855BB">
        <w:rPr>
          <w:rFonts w:cs="Arial"/>
          <w:sz w:val="24"/>
          <w:szCs w:val="24"/>
        </w:rPr>
        <w:t>a vratima skladišta postaviti piktograme opasnosti u skladu sa sigurnosno-tehničkim listovima za eksplozivne supstance.</w:t>
      </w:r>
    </w:p>
    <w:p w:rsidR="007C7E5E" w:rsidRPr="00A855BB" w:rsidRDefault="007C7E5E" w:rsidP="007C7E5E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 xml:space="preserve">- </w:t>
      </w:r>
      <w:r w:rsidRPr="00A855BB">
        <w:rPr>
          <w:rFonts w:cs="Arial"/>
          <w:sz w:val="24"/>
          <w:szCs w:val="24"/>
        </w:rPr>
        <w:t>U preventivne mjere spada sistem za dojavu i gašenje požara i sistem obavještavanja Kantonalnog štaba civilne zaštite SBK i ostalih institucija  kod nesreće većih razmje</w:t>
      </w:r>
      <w:r w:rsidRPr="00A855BB">
        <w:rPr>
          <w:rFonts w:cs="Arial"/>
          <w:sz w:val="24"/>
          <w:szCs w:val="24"/>
        </w:rPr>
        <w:t>ra. U slučaju manjih nekontrolir</w:t>
      </w:r>
      <w:r w:rsidRPr="00A855BB">
        <w:rPr>
          <w:rFonts w:cs="Arial"/>
          <w:sz w:val="24"/>
          <w:szCs w:val="24"/>
        </w:rPr>
        <w:t xml:space="preserve">anih  događaja i nesreća koje operater može riješiti vlastitim zaposlenicima, opremom i sredstvima unutar </w:t>
      </w:r>
      <w:r w:rsidRPr="00A855BB">
        <w:rPr>
          <w:rFonts w:cs="Arial"/>
          <w:sz w:val="24"/>
          <w:szCs w:val="24"/>
        </w:rPr>
        <w:t>kruga skladišta, dužan je angažir</w:t>
      </w:r>
      <w:r w:rsidRPr="00A855BB">
        <w:rPr>
          <w:rFonts w:cs="Arial"/>
          <w:sz w:val="24"/>
          <w:szCs w:val="24"/>
        </w:rPr>
        <w:t>ati nadležnu službu za provođenje mjera sprečavanja širenja posljedica akcidentne nesreće.</w:t>
      </w:r>
    </w:p>
    <w:p w:rsidR="007C7E5E" w:rsidRPr="00A855BB" w:rsidRDefault="00A855BB" w:rsidP="00A855BB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 xml:space="preserve">- </w:t>
      </w:r>
      <w:r w:rsidR="007C7E5E" w:rsidRPr="00A855BB">
        <w:rPr>
          <w:rFonts w:cs="Arial"/>
          <w:sz w:val="24"/>
          <w:szCs w:val="24"/>
        </w:rPr>
        <w:t xml:space="preserve">Operator skladišta Interpromet d.o.o. Vitez je izradio sva potrebna dokumenta vezano za sprečavanje nesreća većih razmjera koja su obavezujuća za sve zaposlenike i kooperante. Sistem </w:t>
      </w:r>
      <w:r w:rsidR="007C7E5E" w:rsidRPr="00A855BB">
        <w:rPr>
          <w:rFonts w:cs="Arial"/>
          <w:sz w:val="24"/>
          <w:szCs w:val="24"/>
        </w:rPr>
        <w:t>sigur</w:t>
      </w:r>
      <w:r w:rsidR="007C7E5E" w:rsidRPr="00A855BB">
        <w:rPr>
          <w:rFonts w:cs="Arial"/>
          <w:sz w:val="24"/>
          <w:szCs w:val="24"/>
        </w:rPr>
        <w:t>nosti se bazira na tehničkim mjerama zaštite na na</w:t>
      </w:r>
      <w:r w:rsidR="007C7E5E" w:rsidRPr="00A855BB">
        <w:rPr>
          <w:rFonts w:cs="Arial"/>
          <w:sz w:val="24"/>
          <w:szCs w:val="24"/>
        </w:rPr>
        <w:t>čin što se ugrađuje oprema sa su</w:t>
      </w:r>
      <w:r w:rsidR="007C7E5E" w:rsidRPr="00A855BB">
        <w:rPr>
          <w:rFonts w:cs="Arial"/>
          <w:sz w:val="24"/>
          <w:szCs w:val="24"/>
        </w:rPr>
        <w:t>vremenim tehničkim rješenjima vezanim za sigurnost rada uz adekvatne organizacijske mjere zaštite koje osiguravaju efikasan rad svih zaposlenika. Oprema se mora redovno ispitivati i održavati u ispravnom stanju i mora biti funkc</w:t>
      </w:r>
      <w:r w:rsidR="007C7E5E" w:rsidRPr="00A855BB">
        <w:rPr>
          <w:rFonts w:cs="Arial"/>
          <w:sz w:val="24"/>
          <w:szCs w:val="24"/>
        </w:rPr>
        <w:t>ionalna u roku koji je predviđe</w:t>
      </w:r>
      <w:r w:rsidR="007C7E5E" w:rsidRPr="00A855BB">
        <w:rPr>
          <w:rFonts w:cs="Arial"/>
          <w:sz w:val="24"/>
          <w:szCs w:val="24"/>
        </w:rPr>
        <w:t>n</w:t>
      </w:r>
      <w:r w:rsidR="007C7E5E" w:rsidRPr="00A855BB">
        <w:rPr>
          <w:rFonts w:cs="Arial"/>
          <w:sz w:val="24"/>
          <w:szCs w:val="24"/>
        </w:rPr>
        <w:t>im</w:t>
      </w:r>
      <w:r w:rsidR="007C7E5E" w:rsidRPr="00A855BB">
        <w:rPr>
          <w:rFonts w:cs="Arial"/>
          <w:sz w:val="24"/>
          <w:szCs w:val="24"/>
        </w:rPr>
        <w:t xml:space="preserve"> posebnim zakonima i podzakonskim propisima i na osnovu internih akata operatera Interpromet d.o.o. Vitez.</w:t>
      </w:r>
    </w:p>
    <w:p w:rsidR="007C7E5E" w:rsidRPr="00A855BB" w:rsidRDefault="00A855BB" w:rsidP="00A855BB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 xml:space="preserve">- </w:t>
      </w:r>
      <w:r w:rsidR="007C7E5E" w:rsidRPr="00A855BB">
        <w:rPr>
          <w:rFonts w:cs="Arial"/>
          <w:sz w:val="24"/>
          <w:szCs w:val="24"/>
        </w:rPr>
        <w:t>U blizini skladišta eksploziva nema o</w:t>
      </w:r>
      <w:r w:rsidR="007C7E5E" w:rsidRPr="00A855BB">
        <w:rPr>
          <w:rFonts w:cs="Arial"/>
          <w:sz w:val="24"/>
          <w:szCs w:val="24"/>
        </w:rPr>
        <w:t>bjekata koji bi svojom djelatno</w:t>
      </w:r>
      <w:r w:rsidR="007C7E5E" w:rsidRPr="00A855BB">
        <w:rPr>
          <w:rFonts w:cs="Arial"/>
          <w:sz w:val="24"/>
          <w:szCs w:val="24"/>
        </w:rPr>
        <w:t>šću bili od značaja u smislu doprinosa domino efektu u smislu člana 112. Zakona o zaštiti okoliša.</w:t>
      </w:r>
    </w:p>
    <w:p w:rsidR="007C7E5E" w:rsidRPr="00A855BB" w:rsidRDefault="00A855BB" w:rsidP="00A855BB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 xml:space="preserve">- </w:t>
      </w:r>
      <w:r w:rsidR="007C7E5E" w:rsidRPr="00A855BB">
        <w:rPr>
          <w:rFonts w:cs="Arial"/>
          <w:sz w:val="24"/>
          <w:szCs w:val="24"/>
        </w:rPr>
        <w:t>Osnovna djelatnost na lokaciji skladišta je skladištenje eksplozivnih supstanci i njihov transport. Oko objekata za skladištenje eksplozivnih supstanci izgrađeni su zaštitni zemljani nasipi.</w:t>
      </w:r>
    </w:p>
    <w:p w:rsidR="007C7E5E" w:rsidRPr="00A855BB" w:rsidRDefault="00A855BB" w:rsidP="00A855BB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 xml:space="preserve">- </w:t>
      </w:r>
      <w:r w:rsidR="007C7E5E" w:rsidRPr="00A855BB">
        <w:rPr>
          <w:rFonts w:cs="Arial"/>
          <w:sz w:val="24"/>
          <w:szCs w:val="24"/>
        </w:rPr>
        <w:t>Skladišta zadovoljavaju opće uvjete sigurne udaljenosti, otpornosti na požar, ugrađene opreme izvedene na način da se spriječi unutrašnje i vanjsko iskrenje, sa mogućnosti prirodnog provjetravanja, zaštite od prov</w:t>
      </w:r>
      <w:r w:rsidR="007C7E5E" w:rsidRPr="00A855BB">
        <w:rPr>
          <w:rFonts w:cs="Arial"/>
          <w:sz w:val="24"/>
          <w:szCs w:val="24"/>
        </w:rPr>
        <w:t>ala i krađa, od atmosferskih utje</w:t>
      </w:r>
      <w:r w:rsidR="007C7E5E" w:rsidRPr="00A855BB">
        <w:rPr>
          <w:rFonts w:cs="Arial"/>
          <w:sz w:val="24"/>
          <w:szCs w:val="24"/>
        </w:rPr>
        <w:t>caja (padavine, atmosferska pražnjenje i sl.). Skladište je opremljeno odgovarajućim uređajima i sredstvima za gašenje požara.</w:t>
      </w:r>
    </w:p>
    <w:p w:rsidR="00D971FB" w:rsidRPr="00A855BB" w:rsidRDefault="00D971FB" w:rsidP="00A855BB">
      <w:pPr>
        <w:pStyle w:val="BodyText2"/>
        <w:ind w:left="1440"/>
        <w:rPr>
          <w:rFonts w:cs="Arial"/>
          <w:sz w:val="24"/>
          <w:szCs w:val="24"/>
        </w:rPr>
      </w:pPr>
    </w:p>
    <w:p w:rsidR="00A804F1" w:rsidRPr="00A855BB" w:rsidRDefault="00A804F1" w:rsidP="00A804F1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  <w:r w:rsidRPr="00A855BB">
        <w:rPr>
          <w:rFonts w:ascii="Arial" w:hAnsi="Arial" w:cs="Arial"/>
          <w:b/>
          <w:sz w:val="24"/>
          <w:szCs w:val="24"/>
          <w:lang w:val="bs-Latn-BA"/>
        </w:rPr>
        <w:t>6. Procjena rizika</w:t>
      </w:r>
    </w:p>
    <w:p w:rsidR="00A804F1" w:rsidRPr="00EB78B8" w:rsidRDefault="00A804F1" w:rsidP="00A804F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A855BB">
        <w:rPr>
          <w:rFonts w:ascii="Arial" w:hAnsi="Arial" w:cs="Arial"/>
          <w:sz w:val="24"/>
          <w:szCs w:val="24"/>
          <w:lang w:val="bs-Latn-BA"/>
        </w:rPr>
        <w:t>U najgorem mogućem slučaju nesreće većih razmjera procijenjena je vjerojatnost nastanka najgoreg mogućeg slučaja koji iznosi 10-5 nesreća godišnje (rizik 3. nivoa - gotovo nemoguće</w:t>
      </w:r>
      <w:r w:rsidR="00031B16" w:rsidRPr="00A855BB">
        <w:rPr>
          <w:rFonts w:ascii="Arial" w:hAnsi="Arial" w:cs="Arial"/>
          <w:sz w:val="24"/>
          <w:szCs w:val="24"/>
          <w:lang w:val="bs-Latn-BA"/>
        </w:rPr>
        <w:t xml:space="preserve"> (tačka 4.13. Procje</w:t>
      </w:r>
      <w:r w:rsidR="003A60F5" w:rsidRPr="00A855BB">
        <w:rPr>
          <w:rFonts w:ascii="Arial" w:hAnsi="Arial" w:cs="Arial"/>
          <w:sz w:val="24"/>
          <w:szCs w:val="24"/>
          <w:lang w:val="bs-Latn-BA"/>
        </w:rPr>
        <w:t>n</w:t>
      </w:r>
      <w:r w:rsidR="00031B16" w:rsidRPr="00A855BB">
        <w:rPr>
          <w:rFonts w:ascii="Arial" w:hAnsi="Arial" w:cs="Arial"/>
          <w:sz w:val="24"/>
          <w:szCs w:val="24"/>
          <w:lang w:val="bs-Latn-BA"/>
        </w:rPr>
        <w:t>a</w:t>
      </w:r>
      <w:r w:rsidR="003A60F5" w:rsidRPr="00A855BB">
        <w:rPr>
          <w:rFonts w:ascii="Arial" w:hAnsi="Arial" w:cs="Arial"/>
          <w:sz w:val="24"/>
          <w:szCs w:val="24"/>
          <w:lang w:val="bs-Latn-BA"/>
        </w:rPr>
        <w:t xml:space="preserve"> rizika Izvješa o stanju </w:t>
      </w:r>
      <w:r w:rsidR="003A60F5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sigurnosti)</w:t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.</w:t>
      </w:r>
      <w:r w:rsidRPr="00EB78B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</w:p>
    <w:p w:rsidR="00D27064" w:rsidRPr="00EB78B8" w:rsidRDefault="00D27064" w:rsidP="00A804F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</w:p>
    <w:p w:rsidR="00A804F1" w:rsidRPr="00EB78B8" w:rsidRDefault="008C1D4A" w:rsidP="00A804F1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7</w:t>
      </w:r>
      <w:r w:rsidR="00A804F1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. Obaveze ažuriranja dokumentacije</w:t>
      </w:r>
    </w:p>
    <w:p w:rsidR="00D27064" w:rsidRPr="00EB78B8" w:rsidRDefault="008C1D4A" w:rsidP="00A804F1">
      <w:pPr>
        <w:pStyle w:val="NoSpacing"/>
        <w:rPr>
          <w:rFonts w:ascii="Arial" w:hAnsi="Arial" w:cs="Arial"/>
          <w:b/>
          <w:noProof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7</w:t>
      </w:r>
      <w:r w:rsidR="00D27064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.</w:t>
      </w:r>
      <w:r w:rsidR="00D27064" w:rsidRPr="00EB78B8">
        <w:rPr>
          <w:rFonts w:ascii="Arial" w:hAnsi="Arial" w:cs="Arial"/>
          <w:b/>
          <w:noProof/>
          <w:color w:val="000000" w:themeColor="text1"/>
          <w:sz w:val="24"/>
          <w:szCs w:val="24"/>
          <w:lang w:val="hr-HR"/>
        </w:rPr>
        <w:t xml:space="preserve">1. Obaveza ažuriranja Izvješća o stanju sigurnosti u skladu sa </w:t>
      </w:r>
      <w:r w:rsidR="009A2A3A" w:rsidRPr="00EB78B8">
        <w:rPr>
          <w:rFonts w:ascii="Arial" w:eastAsiaTheme="minorHAnsi" w:hAnsi="Arial" w:cs="Arial"/>
          <w:noProof/>
          <w:color w:val="000000" w:themeColor="text1"/>
          <w:sz w:val="24"/>
          <w:szCs w:val="24"/>
        </w:rPr>
        <w:t>stavkom (2) članka 107. Zakona i</w:t>
      </w:r>
      <w:r w:rsidR="00D27064" w:rsidRPr="00EB78B8">
        <w:rPr>
          <w:rFonts w:ascii="Arial" w:eastAsiaTheme="minorHAnsi" w:hAnsi="Arial" w:cs="Arial"/>
          <w:noProof/>
          <w:color w:val="000000" w:themeColor="text1"/>
          <w:sz w:val="24"/>
          <w:szCs w:val="24"/>
        </w:rPr>
        <w:t xml:space="preserve"> članka 13. Pravilnika, operater je dužan ažurirati, te u tom smislu izvršiti dopune podataka i informacija, i to:</w:t>
      </w:r>
    </w:p>
    <w:p w:rsidR="00D27064" w:rsidRPr="00EB78B8" w:rsidRDefault="00A855BB" w:rsidP="00A855BB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</w:rPr>
      </w:pPr>
      <w:r>
        <w:rPr>
          <w:rFonts w:ascii="Arial" w:eastAsiaTheme="minorHAnsi" w:hAnsi="Arial" w:cs="Arial"/>
          <w:noProof/>
          <w:color w:val="000000" w:themeColor="text1"/>
        </w:rPr>
        <w:t xml:space="preserve">a) </w:t>
      </w:r>
      <w:r w:rsidR="00D27064" w:rsidRPr="00EB78B8">
        <w:rPr>
          <w:rFonts w:ascii="Arial" w:eastAsiaTheme="minorHAnsi" w:hAnsi="Arial" w:cs="Arial"/>
          <w:noProof/>
          <w:color w:val="000000" w:themeColor="text1"/>
        </w:rPr>
        <w:t xml:space="preserve">svakih 5 godina od posljednjeg Izvješća o stanju sigurnosti, </w:t>
      </w:r>
    </w:p>
    <w:p w:rsidR="00D27064" w:rsidRPr="00EB78B8" w:rsidRDefault="00A855BB" w:rsidP="00A855BB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</w:rPr>
      </w:pPr>
      <w:r>
        <w:rPr>
          <w:rFonts w:ascii="Arial" w:eastAsiaTheme="minorHAnsi" w:hAnsi="Arial" w:cs="Arial"/>
          <w:noProof/>
          <w:color w:val="000000" w:themeColor="text1"/>
        </w:rPr>
        <w:t xml:space="preserve">b) </w:t>
      </w:r>
      <w:r w:rsidR="00D27064" w:rsidRPr="00EB78B8">
        <w:rPr>
          <w:rFonts w:ascii="Arial" w:eastAsiaTheme="minorHAnsi" w:hAnsi="Arial" w:cs="Arial"/>
          <w:noProof/>
          <w:color w:val="000000" w:themeColor="text1"/>
        </w:rPr>
        <w:t>bez odlaganja, u slučaju bilo kakve promjene, rekonstrukcije uključujući i slučaj prestanka rada pogona/postrojenja/skladišta, a najkasnije u roku od 60 dana od značajne promjene:</w:t>
      </w:r>
    </w:p>
    <w:p w:rsidR="00D27064" w:rsidRPr="00EB78B8" w:rsidRDefault="00D27064" w:rsidP="00A804F1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color w:val="000000" w:themeColor="text1"/>
        </w:rPr>
      </w:pPr>
      <w:r w:rsidRPr="00EB78B8">
        <w:rPr>
          <w:rFonts w:ascii="Arial" w:eastAsiaTheme="minorHAnsi" w:hAnsi="Arial" w:cs="Arial"/>
          <w:noProof/>
          <w:color w:val="000000" w:themeColor="text1"/>
        </w:rPr>
        <w:t>– u postrojenju;</w:t>
      </w:r>
    </w:p>
    <w:p w:rsidR="00D27064" w:rsidRPr="00EB78B8" w:rsidRDefault="00D27064" w:rsidP="00A804F1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color w:val="000000" w:themeColor="text1"/>
        </w:rPr>
      </w:pPr>
      <w:r w:rsidRPr="00EB78B8">
        <w:rPr>
          <w:rFonts w:ascii="Arial" w:eastAsiaTheme="minorHAnsi" w:hAnsi="Arial" w:cs="Arial"/>
          <w:noProof/>
          <w:color w:val="000000" w:themeColor="text1"/>
        </w:rPr>
        <w:t>– u skladišnom prostoru;</w:t>
      </w:r>
    </w:p>
    <w:p w:rsidR="00D27064" w:rsidRPr="00EB78B8" w:rsidRDefault="00D27064" w:rsidP="00A804F1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color w:val="000000" w:themeColor="text1"/>
        </w:rPr>
      </w:pPr>
      <w:r w:rsidRPr="00EB78B8">
        <w:rPr>
          <w:rFonts w:ascii="Arial" w:eastAsiaTheme="minorHAnsi" w:hAnsi="Arial" w:cs="Arial"/>
          <w:noProof/>
          <w:color w:val="000000" w:themeColor="text1"/>
        </w:rPr>
        <w:lastRenderedPageBreak/>
        <w:t>– u postupku u kojem se koristi opasna tvar;</w:t>
      </w:r>
    </w:p>
    <w:p w:rsidR="00D27064" w:rsidRPr="00EB78B8" w:rsidRDefault="00D27064" w:rsidP="00A804F1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color w:val="000000" w:themeColor="text1"/>
        </w:rPr>
      </w:pPr>
      <w:r w:rsidRPr="00EB78B8">
        <w:rPr>
          <w:rFonts w:ascii="Arial" w:eastAsiaTheme="minorHAnsi" w:hAnsi="Arial" w:cs="Arial"/>
          <w:noProof/>
          <w:color w:val="000000" w:themeColor="text1"/>
        </w:rPr>
        <w:t>– u količini, prirodi, agregatnom stanju opasne tvari u poređenju sa podatcima sadržanim u postojećem Izvješću o stanju sigurnosti;</w:t>
      </w:r>
    </w:p>
    <w:p w:rsidR="00D27064" w:rsidRPr="00EB78B8" w:rsidRDefault="00A855BB" w:rsidP="00A855BB">
      <w:pPr>
        <w:pStyle w:val="t-9-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noProof/>
          <w:color w:val="000000" w:themeColor="text1"/>
        </w:rPr>
      </w:pPr>
      <w:r>
        <w:rPr>
          <w:rFonts w:ascii="Arial" w:eastAsiaTheme="minorHAnsi" w:hAnsi="Arial" w:cs="Arial"/>
          <w:noProof/>
          <w:color w:val="000000" w:themeColor="text1"/>
        </w:rPr>
        <w:t xml:space="preserve">c) </w:t>
      </w:r>
      <w:r w:rsidR="00D27064" w:rsidRPr="00EB78B8">
        <w:rPr>
          <w:rFonts w:ascii="Arial" w:eastAsiaTheme="minorHAnsi" w:hAnsi="Arial" w:cs="Arial"/>
          <w:noProof/>
          <w:color w:val="000000" w:themeColor="text1"/>
        </w:rPr>
        <w:t>u bilo koje drugo vrijeme na inicijativu operatera ili na zahtjev Federalnog ministarstva:</w:t>
      </w:r>
    </w:p>
    <w:p w:rsidR="00D27064" w:rsidRPr="00EB78B8" w:rsidRDefault="00D27064" w:rsidP="00A804F1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color w:val="000000" w:themeColor="text1"/>
        </w:rPr>
      </w:pPr>
      <w:r w:rsidRPr="00EB78B8">
        <w:rPr>
          <w:rFonts w:ascii="Arial" w:eastAsiaTheme="minorHAnsi" w:hAnsi="Arial" w:cs="Arial"/>
          <w:noProof/>
          <w:color w:val="000000" w:themeColor="text1"/>
        </w:rPr>
        <w:t>– iz razloga uzimanja u obzir saznanja o novim činjenicama ili novim tehnološkim spoznajama o sigurnosnim pitanjima, uključujući spoznaje koje proizlaze iz analize nesreća ili, u mjeri u kojoj je to moguće, iz izbjegnutih nesreća;</w:t>
      </w:r>
    </w:p>
    <w:p w:rsidR="00D971FB" w:rsidRPr="00A855BB" w:rsidRDefault="00D27064" w:rsidP="00A855BB">
      <w:pPr>
        <w:pStyle w:val="t-9-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eastAsiaTheme="minorHAnsi" w:hAnsi="Arial" w:cs="Arial"/>
          <w:noProof/>
          <w:color w:val="000000" w:themeColor="text1"/>
        </w:rPr>
      </w:pPr>
      <w:r w:rsidRPr="00EB78B8">
        <w:rPr>
          <w:rFonts w:ascii="Arial" w:eastAsiaTheme="minorHAnsi" w:hAnsi="Arial" w:cs="Arial"/>
          <w:noProof/>
          <w:color w:val="000000" w:themeColor="text1"/>
        </w:rPr>
        <w:t>– u slučaju bilo kakvih saznanja i pretpostavki o promjenama glede mogućih bitnih posljedica u vezi s opasnostima povezanima sa nesrećom većih razmjera.</w:t>
      </w:r>
    </w:p>
    <w:p w:rsidR="00D27064" w:rsidRPr="00A855BB" w:rsidRDefault="00A804F1" w:rsidP="00A855B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78B8">
        <w:rPr>
          <w:rFonts w:ascii="Arial" w:hAnsi="Arial" w:cs="Arial"/>
          <w:color w:val="000000" w:themeColor="text1"/>
          <w:sz w:val="24"/>
          <w:szCs w:val="24"/>
        </w:rPr>
        <w:t xml:space="preserve">Ukoliko se informacije sadržane u Izvješću o stanju sigurnosti nisu mijenjale, operater nije obavezan dostaviti Izvješće u ostavljenom roku, ali je istovremeno dužan o tome obavijestiti Federalno ministarstvo u okviru Informacije o sigurnosnim mjerama, u skladu sa članom 110. Zakona. </w:t>
      </w:r>
    </w:p>
    <w:p w:rsidR="00DF05B4" w:rsidRPr="00EB78B8" w:rsidRDefault="008C1D4A" w:rsidP="00A804F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7</w:t>
      </w:r>
      <w:r w:rsidR="00D27064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.2. Obaveza ažuriranja Informacije o stanju sigurnosti</w:t>
      </w:r>
      <w:r w:rsidR="00DF05B4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 </w:t>
      </w:r>
      <w:r w:rsidR="00DF05B4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propisana je stavkom (2) člankom 110 Zakona u slučaju promjene u radu u roku od šest mjeseci nakon nastale promjene, te ponovo razmatra svake treće godine. </w:t>
      </w:r>
    </w:p>
    <w:p w:rsidR="00314CBF" w:rsidRDefault="008C1D4A" w:rsidP="00F21E0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7</w:t>
      </w:r>
      <w:r w:rsidR="00DF05B4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.3. Obaveza ažuriranja Unutarnjeg plana intervencija</w:t>
      </w:r>
      <w:r w:rsidR="00DF05B4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vrši se u skladu sa stavkom (5) članak 14. je svake treće godine ili u slučaju promjene u radu u roku od šest mjeseci nakon nastale promjene.</w:t>
      </w:r>
    </w:p>
    <w:p w:rsidR="00A855BB" w:rsidRPr="00EB78B8" w:rsidRDefault="00A855BB" w:rsidP="00F21E0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</w:p>
    <w:p w:rsidR="003A60F5" w:rsidRPr="00EB78B8" w:rsidRDefault="008C1D4A" w:rsidP="003A60F5">
      <w:pPr>
        <w:pStyle w:val="NoSpacing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8</w:t>
      </w:r>
      <w:r w:rsidR="003A60F5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. </w:t>
      </w:r>
      <w:r w:rsidR="003A60F5" w:rsidRPr="00EB78B8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Izvješće o stanju sigurnosti, Informaciju o sigurnosnim mjerama i Unutrašnji plan intervencija su obavezni prilozi ovog rješenja o okolinskoj dozvoli-suglasnosti na Izvješće o stanju sigurnosti.  </w:t>
      </w:r>
    </w:p>
    <w:p w:rsidR="003A60F5" w:rsidRPr="00EB78B8" w:rsidRDefault="003A60F5" w:rsidP="00F21E0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</w:p>
    <w:p w:rsidR="00D04066" w:rsidRPr="00EB78B8" w:rsidRDefault="008C1D4A" w:rsidP="00D95C0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  <w:r w:rsidRPr="008C1D4A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9</w:t>
      </w:r>
      <w:r w:rsidR="00D04066" w:rsidRPr="008C1D4A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.</w:t>
      </w:r>
      <w:r w:rsidR="00D04066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Dozvola</w:t>
      </w:r>
      <w:r w:rsidR="003A60F5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/suglasnost</w:t>
      </w:r>
      <w:r w:rsidR="00D04066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se izdaje </w:t>
      </w:r>
      <w:r w:rsidR="00D04066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na period od pet godina</w:t>
      </w:r>
      <w:r w:rsidR="00D971FB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 uz poštivanje obaveza ažuriranja iz tačke 8. ovog Rješenja</w:t>
      </w:r>
      <w:r w:rsidR="00D04066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>, a svake pete godine vrši se obnova na način utvrđen u članu 93. Zakona.</w:t>
      </w:r>
      <w:r w:rsidR="00D95C09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</w:t>
      </w:r>
    </w:p>
    <w:p w:rsidR="00C22F74" w:rsidRPr="00EB78B8" w:rsidRDefault="00C22F74" w:rsidP="00D95C0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p w:rsidR="00C22F74" w:rsidRPr="00EB78B8" w:rsidRDefault="00A855BB" w:rsidP="00C22F74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10</w:t>
      </w:r>
      <w:r w:rsidR="00C22F74" w:rsidRPr="00A855BB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>.</w:t>
      </w:r>
      <w:r w:rsidR="00C22F74"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 xml:space="preserve"> Ovo rješenje se upisuje u</w:t>
      </w:r>
      <w:r w:rsidR="00C22F74" w:rsidRPr="00EB78B8">
        <w:rPr>
          <w:rFonts w:ascii="Arial" w:hAnsi="Arial" w:cs="Arial"/>
          <w:b/>
          <w:color w:val="000000" w:themeColor="text1"/>
          <w:sz w:val="24"/>
          <w:szCs w:val="24"/>
          <w:lang w:val="bs-Latn-BA"/>
        </w:rPr>
        <w:t xml:space="preserve"> registar izdatih okolinskih dozvola.</w:t>
      </w:r>
    </w:p>
    <w:p w:rsidR="00C22F74" w:rsidRPr="00EB78B8" w:rsidRDefault="00C22F74" w:rsidP="00D95C0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p w:rsidR="007C7E5E" w:rsidRPr="00A855BB" w:rsidRDefault="00F87F25" w:rsidP="00B6737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ab/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ab/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ab/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ab/>
      </w:r>
      <w:r w:rsidRPr="00EB78B8">
        <w:rPr>
          <w:rFonts w:ascii="Arial" w:hAnsi="Arial" w:cs="Arial"/>
          <w:color w:val="000000" w:themeColor="text1"/>
          <w:sz w:val="24"/>
          <w:szCs w:val="24"/>
          <w:lang w:val="bs-Latn-BA"/>
        </w:rPr>
        <w:tab/>
      </w:r>
    </w:p>
    <w:p w:rsidR="008C1D4A" w:rsidRDefault="00D95C09" w:rsidP="008C1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A855BB">
        <w:rPr>
          <w:rFonts w:ascii="Arial" w:hAnsi="Arial" w:cs="Arial"/>
          <w:b/>
          <w:sz w:val="24"/>
          <w:szCs w:val="24"/>
          <w:lang w:val="bs-Latn-BA"/>
        </w:rPr>
        <w:t>Obrazloženje</w:t>
      </w:r>
    </w:p>
    <w:p w:rsidR="00A855BB" w:rsidRPr="00A855BB" w:rsidRDefault="00A855BB" w:rsidP="008C1D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bookmarkStart w:id="3" w:name="_GoBack"/>
      <w:bookmarkEnd w:id="3"/>
    </w:p>
    <w:p w:rsidR="009A2A3A" w:rsidRPr="00A855BB" w:rsidRDefault="009A2A3A" w:rsidP="008C1D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A855BB">
        <w:rPr>
          <w:rFonts w:ascii="Arial" w:hAnsi="Arial" w:cs="Arial"/>
          <w:sz w:val="24"/>
          <w:szCs w:val="24"/>
        </w:rPr>
        <w:t xml:space="preserve">Operator Interpromet d.o.o. Vitez podnio je </w:t>
      </w:r>
      <w:r w:rsidR="007C7E5E" w:rsidRPr="00A855BB">
        <w:rPr>
          <w:rFonts w:ascii="Arial" w:hAnsi="Arial" w:cs="Arial"/>
          <w:sz w:val="24"/>
          <w:szCs w:val="24"/>
        </w:rPr>
        <w:t>17</w:t>
      </w:r>
      <w:r w:rsidR="008C1D4A" w:rsidRPr="00A855BB">
        <w:rPr>
          <w:rFonts w:ascii="Arial" w:hAnsi="Arial" w:cs="Arial"/>
          <w:sz w:val="24"/>
          <w:szCs w:val="24"/>
        </w:rPr>
        <w:t xml:space="preserve">.08. 2021. godine </w:t>
      </w:r>
      <w:r w:rsidRPr="00A855BB">
        <w:rPr>
          <w:rFonts w:ascii="Arial" w:hAnsi="Arial" w:cs="Arial"/>
          <w:sz w:val="24"/>
          <w:szCs w:val="24"/>
        </w:rPr>
        <w:t xml:space="preserve"> godine Federalnom ministarstvu okoliša i turizma zahtjev za izdavanje okolinske dozvole za skladištenje eksplozivnih materija lociranih  u industrijskoj zon</w:t>
      </w:r>
      <w:r w:rsidR="00061A52" w:rsidRPr="00A855BB">
        <w:rPr>
          <w:rFonts w:ascii="Arial" w:hAnsi="Arial" w:cs="Arial"/>
          <w:sz w:val="24"/>
          <w:szCs w:val="24"/>
        </w:rPr>
        <w:t>i na  lokaciji Brizjak – Donja V</w:t>
      </w:r>
      <w:r w:rsidRPr="00A855BB">
        <w:rPr>
          <w:rFonts w:ascii="Arial" w:hAnsi="Arial" w:cs="Arial"/>
          <w:sz w:val="24"/>
          <w:szCs w:val="24"/>
        </w:rPr>
        <w:t>ečirska.</w:t>
      </w:r>
    </w:p>
    <w:p w:rsidR="00871655" w:rsidRPr="00A855BB" w:rsidRDefault="00871655" w:rsidP="008C1D4A">
      <w:pPr>
        <w:pStyle w:val="BodyText2"/>
        <w:ind w:firstLine="708"/>
        <w:rPr>
          <w:rFonts w:cs="Arial"/>
          <w:sz w:val="24"/>
          <w:szCs w:val="24"/>
        </w:rPr>
      </w:pPr>
    </w:p>
    <w:p w:rsidR="00BB02FD" w:rsidRPr="00A855BB" w:rsidRDefault="009A2A3A" w:rsidP="007C7E5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855BB">
        <w:rPr>
          <w:rFonts w:ascii="Arial" w:hAnsi="Arial" w:cs="Arial"/>
          <w:sz w:val="24"/>
          <w:szCs w:val="24"/>
        </w:rPr>
        <w:t xml:space="preserve">Pravni osnov za postupanje po zahtjevu sadržan je </w:t>
      </w:r>
      <w:r w:rsidRPr="00A855BB">
        <w:rPr>
          <w:rFonts w:ascii="Arial" w:hAnsi="Arial" w:cs="Arial"/>
          <w:sz w:val="24"/>
          <w:szCs w:val="24"/>
          <w:lang w:val="hr-HR"/>
        </w:rPr>
        <w:t>u stavkom (1) članka 102. i stavku (1) članka 107. Zakona o zaštiti okoliša („Službene novine Federacije BiH“, broj: 15/21), prema kojem skladište eksploziva Interpromet d.o.o.</w:t>
      </w:r>
      <w:r w:rsidR="008C1D4A" w:rsidRPr="00A855BB">
        <w:rPr>
          <w:rFonts w:ascii="Arial" w:hAnsi="Arial" w:cs="Arial"/>
          <w:sz w:val="24"/>
          <w:szCs w:val="24"/>
          <w:lang w:val="hr-HR"/>
        </w:rPr>
        <w:t xml:space="preserve"> Vitez pripada višem razredu (50 ili 12</w:t>
      </w:r>
      <w:r w:rsidRPr="00A855BB">
        <w:rPr>
          <w:rFonts w:ascii="Arial" w:hAnsi="Arial" w:cs="Arial"/>
          <w:sz w:val="24"/>
          <w:szCs w:val="24"/>
          <w:lang w:val="hr-HR"/>
        </w:rPr>
        <w:t>5 t eksploziva</w:t>
      </w:r>
      <w:r w:rsidR="008C1D4A" w:rsidRPr="00A855BB">
        <w:rPr>
          <w:rFonts w:ascii="Arial" w:hAnsi="Arial" w:cs="Arial"/>
          <w:sz w:val="24"/>
          <w:szCs w:val="24"/>
          <w:lang w:val="hr-HR"/>
        </w:rPr>
        <w:t xml:space="preserve"> po skladištu</w:t>
      </w:r>
      <w:r w:rsidRPr="00A855BB">
        <w:rPr>
          <w:rFonts w:ascii="Arial" w:hAnsi="Arial" w:cs="Arial"/>
          <w:sz w:val="24"/>
          <w:szCs w:val="24"/>
          <w:lang w:val="hr-HR"/>
        </w:rPr>
        <w:t>) pogona, postrojenja i/ili skladišta u kojem su opasne supstance prisutne u količinama koje su jednake ili veće od količina navedenih u Prilogu Ia. Dio 1. kolona 3. ili Prilogu Ia. Dio 2. kolona 3 Pravilnika o pogonima, postrojenjima i skladištima</w:t>
      </w:r>
      <w:r w:rsidRPr="00A855BB">
        <w:rPr>
          <w:rFonts w:ascii="Arial" w:hAnsi="Arial" w:cs="Arial"/>
          <w:sz w:val="24"/>
          <w:szCs w:val="24"/>
          <w:shd w:val="clear" w:color="auto" w:fill="FFFFFF"/>
        </w:rPr>
        <w:t xml:space="preserve"> u kojima su prisutne opasne supstance koje mogu dovesti do nesreća većih razmjera ("Službene novine Federacije BiH", broj: 51/21).</w:t>
      </w:r>
    </w:p>
    <w:p w:rsidR="009A2A3A" w:rsidRPr="00A855BB" w:rsidRDefault="00BB02FD" w:rsidP="00EB78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5BB">
        <w:rPr>
          <w:rFonts w:ascii="Arial" w:hAnsi="Arial" w:cs="Arial"/>
          <w:sz w:val="24"/>
          <w:szCs w:val="24"/>
        </w:rPr>
        <w:lastRenderedPageBreak/>
        <w:t xml:space="preserve">U skladu sa </w:t>
      </w:r>
      <w:r w:rsidR="00061A52" w:rsidRPr="00A855BB">
        <w:rPr>
          <w:rFonts w:ascii="Arial" w:hAnsi="Arial" w:cs="Arial"/>
          <w:sz w:val="24"/>
          <w:szCs w:val="24"/>
          <w:lang w:val="hr-HR"/>
        </w:rPr>
        <w:t xml:space="preserve">čl. 102. do 113. </w:t>
      </w:r>
      <w:r w:rsidRPr="00A855BB">
        <w:rPr>
          <w:rFonts w:ascii="Arial" w:hAnsi="Arial" w:cs="Arial"/>
          <w:sz w:val="24"/>
          <w:szCs w:val="24"/>
          <w:lang w:val="hr-HR"/>
        </w:rPr>
        <w:t>Zakonom o zaštiti okoliša („Službene novine Federacije BiH“, broj: 15/21),</w:t>
      </w:r>
      <w:r w:rsidR="00061A52" w:rsidRPr="00A855BB">
        <w:rPr>
          <w:rFonts w:ascii="Arial" w:hAnsi="Arial" w:cs="Arial"/>
          <w:sz w:val="24"/>
          <w:szCs w:val="24"/>
          <w:lang w:val="hr-HR"/>
        </w:rPr>
        <w:t xml:space="preserve"> </w:t>
      </w:r>
      <w:r w:rsidRPr="00A855BB">
        <w:rPr>
          <w:rFonts w:ascii="Arial" w:hAnsi="Arial" w:cs="Arial"/>
          <w:sz w:val="24"/>
          <w:szCs w:val="24"/>
          <w:lang w:val="hr-HR"/>
        </w:rPr>
        <w:t>u</w:t>
      </w:r>
      <w:r w:rsidR="009A2A3A" w:rsidRPr="00A855BB">
        <w:rPr>
          <w:rFonts w:ascii="Arial" w:hAnsi="Arial" w:cs="Arial"/>
          <w:sz w:val="24"/>
          <w:szCs w:val="24"/>
        </w:rPr>
        <w:t xml:space="preserve">z </w:t>
      </w:r>
      <w:r w:rsidRPr="00A855BB">
        <w:rPr>
          <w:rFonts w:ascii="Arial" w:hAnsi="Arial" w:cs="Arial"/>
          <w:sz w:val="24"/>
          <w:szCs w:val="24"/>
        </w:rPr>
        <w:t xml:space="preserve">pisani dopis kojim se traži </w:t>
      </w:r>
      <w:r w:rsidR="00871655" w:rsidRPr="00A855BB">
        <w:rPr>
          <w:rFonts w:ascii="Arial" w:hAnsi="Arial" w:cs="Arial"/>
          <w:sz w:val="24"/>
          <w:szCs w:val="24"/>
        </w:rPr>
        <w:t>izdavanje okolišne dozvole/suglasnosti dosta</w:t>
      </w:r>
      <w:r w:rsidR="009A2A3A" w:rsidRPr="00A855BB">
        <w:rPr>
          <w:rFonts w:ascii="Arial" w:hAnsi="Arial" w:cs="Arial"/>
          <w:sz w:val="24"/>
          <w:szCs w:val="24"/>
        </w:rPr>
        <w:t>vljen</w:t>
      </w:r>
      <w:r w:rsidR="00871655" w:rsidRPr="00A855BB">
        <w:rPr>
          <w:rFonts w:ascii="Arial" w:hAnsi="Arial" w:cs="Arial"/>
          <w:sz w:val="24"/>
          <w:szCs w:val="24"/>
        </w:rPr>
        <w:t>a</w:t>
      </w:r>
      <w:r w:rsidR="009A2A3A" w:rsidRPr="00A855BB">
        <w:rPr>
          <w:rFonts w:ascii="Arial" w:hAnsi="Arial" w:cs="Arial"/>
          <w:sz w:val="24"/>
          <w:szCs w:val="24"/>
        </w:rPr>
        <w:t xml:space="preserve"> je</w:t>
      </w:r>
      <w:r w:rsidR="00871655" w:rsidRPr="00A855BB">
        <w:rPr>
          <w:rFonts w:ascii="Arial" w:hAnsi="Arial" w:cs="Arial"/>
          <w:sz w:val="24"/>
          <w:szCs w:val="24"/>
        </w:rPr>
        <w:t xml:space="preserve"> sljedeća dokumentacija</w:t>
      </w:r>
      <w:r w:rsidR="009A2A3A" w:rsidRPr="00A855BB">
        <w:rPr>
          <w:rFonts w:ascii="Arial" w:hAnsi="Arial" w:cs="Arial"/>
          <w:sz w:val="24"/>
          <w:szCs w:val="24"/>
        </w:rPr>
        <w:t>:</w:t>
      </w:r>
    </w:p>
    <w:p w:rsidR="00C32C68" w:rsidRPr="00A855BB" w:rsidRDefault="00C32C68" w:rsidP="00EB78B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855BB">
        <w:rPr>
          <w:rFonts w:ascii="Arial" w:hAnsi="Arial" w:cs="Arial"/>
          <w:sz w:val="24"/>
          <w:szCs w:val="24"/>
        </w:rPr>
        <w:t>Obavještenje o skladištu</w:t>
      </w:r>
      <w:r w:rsidR="00BB02FD" w:rsidRPr="00A855BB">
        <w:rPr>
          <w:rFonts w:ascii="Arial" w:hAnsi="Arial" w:cs="Arial"/>
          <w:sz w:val="24"/>
          <w:szCs w:val="24"/>
        </w:rPr>
        <w:t xml:space="preserve"> </w:t>
      </w:r>
      <w:r w:rsidRPr="00A855BB">
        <w:rPr>
          <w:rFonts w:ascii="Arial" w:hAnsi="Arial" w:cs="Arial"/>
          <w:sz w:val="24"/>
          <w:szCs w:val="24"/>
        </w:rPr>
        <w:t>koje može izazavati nesreće većih razmjera  (sukladno članku 7. Pravilnika)</w:t>
      </w:r>
    </w:p>
    <w:p w:rsidR="009A2A3A" w:rsidRPr="00A855BB" w:rsidRDefault="009A2A3A" w:rsidP="00EB78B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55BB">
        <w:rPr>
          <w:rFonts w:ascii="Arial" w:hAnsi="Arial" w:cs="Arial"/>
          <w:sz w:val="24"/>
          <w:szCs w:val="24"/>
        </w:rPr>
        <w:t>Izvještaj o stanju sigurnosti</w:t>
      </w:r>
      <w:r w:rsidR="00871655" w:rsidRPr="00A855BB">
        <w:rPr>
          <w:rFonts w:ascii="Arial" w:hAnsi="Arial" w:cs="Arial"/>
          <w:sz w:val="24"/>
          <w:szCs w:val="24"/>
        </w:rPr>
        <w:t xml:space="preserve"> (sukladno članku</w:t>
      </w:r>
      <w:r w:rsidR="00C32C68" w:rsidRPr="00A855BB">
        <w:rPr>
          <w:rFonts w:ascii="Arial" w:hAnsi="Arial" w:cs="Arial"/>
          <w:sz w:val="24"/>
          <w:szCs w:val="24"/>
        </w:rPr>
        <w:t xml:space="preserve"> </w:t>
      </w:r>
      <w:r w:rsidR="00BB02FD" w:rsidRPr="00A855BB">
        <w:rPr>
          <w:rFonts w:ascii="Arial" w:hAnsi="Arial" w:cs="Arial"/>
          <w:sz w:val="24"/>
          <w:szCs w:val="24"/>
        </w:rPr>
        <w:t>10.</w:t>
      </w:r>
      <w:r w:rsidR="00871655" w:rsidRPr="00A855BB">
        <w:rPr>
          <w:rFonts w:ascii="Arial" w:hAnsi="Arial" w:cs="Arial"/>
          <w:sz w:val="24"/>
          <w:szCs w:val="24"/>
        </w:rPr>
        <w:t xml:space="preserve"> Pravilnika)</w:t>
      </w:r>
    </w:p>
    <w:p w:rsidR="009A2A3A" w:rsidRPr="00A855BB" w:rsidRDefault="009A2A3A" w:rsidP="00EB78B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55BB">
        <w:rPr>
          <w:rFonts w:ascii="Arial" w:hAnsi="Arial" w:cs="Arial"/>
          <w:sz w:val="24"/>
          <w:szCs w:val="24"/>
        </w:rPr>
        <w:t>Informacija o sigurnosnim mjerama</w:t>
      </w:r>
      <w:r w:rsidR="00871655" w:rsidRPr="00A855BB">
        <w:rPr>
          <w:rFonts w:ascii="Arial" w:hAnsi="Arial" w:cs="Arial"/>
          <w:sz w:val="24"/>
          <w:szCs w:val="24"/>
        </w:rPr>
        <w:t xml:space="preserve"> (</w:t>
      </w:r>
      <w:r w:rsidR="00B6737C" w:rsidRPr="00A855BB">
        <w:rPr>
          <w:rFonts w:ascii="Arial" w:hAnsi="Arial" w:cs="Arial"/>
          <w:sz w:val="24"/>
          <w:szCs w:val="24"/>
        </w:rPr>
        <w:t xml:space="preserve">sukladno članku </w:t>
      </w:r>
      <w:r w:rsidR="00BB02FD" w:rsidRPr="00A855BB">
        <w:rPr>
          <w:rFonts w:ascii="Arial" w:hAnsi="Arial" w:cs="Arial"/>
          <w:sz w:val="24"/>
          <w:szCs w:val="24"/>
        </w:rPr>
        <w:t xml:space="preserve">16. </w:t>
      </w:r>
      <w:r w:rsidR="00871655" w:rsidRPr="00A855BB">
        <w:rPr>
          <w:rFonts w:ascii="Arial" w:hAnsi="Arial" w:cs="Arial"/>
          <w:sz w:val="24"/>
          <w:szCs w:val="24"/>
        </w:rPr>
        <w:t>Pravilnika)</w:t>
      </w:r>
    </w:p>
    <w:p w:rsidR="009A2A3A" w:rsidRPr="00A855BB" w:rsidRDefault="009A2A3A" w:rsidP="00EB78B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855BB">
        <w:rPr>
          <w:rFonts w:ascii="Arial" w:hAnsi="Arial" w:cs="Arial"/>
          <w:sz w:val="24"/>
          <w:szCs w:val="24"/>
        </w:rPr>
        <w:t>Unutrašnji plan inetrevencija</w:t>
      </w:r>
      <w:r w:rsidR="00871655" w:rsidRPr="00A855BB">
        <w:rPr>
          <w:rFonts w:ascii="Arial" w:hAnsi="Arial" w:cs="Arial"/>
          <w:sz w:val="24"/>
          <w:szCs w:val="24"/>
        </w:rPr>
        <w:t xml:space="preserve"> (</w:t>
      </w:r>
      <w:r w:rsidR="00B6737C" w:rsidRPr="00A855BB">
        <w:rPr>
          <w:rFonts w:ascii="Arial" w:hAnsi="Arial" w:cs="Arial"/>
          <w:sz w:val="24"/>
          <w:szCs w:val="24"/>
        </w:rPr>
        <w:t xml:space="preserve">sukladno članku </w:t>
      </w:r>
      <w:r w:rsidR="00BB02FD" w:rsidRPr="00A855BB">
        <w:rPr>
          <w:rFonts w:ascii="Arial" w:hAnsi="Arial" w:cs="Arial"/>
          <w:sz w:val="24"/>
          <w:szCs w:val="24"/>
        </w:rPr>
        <w:t xml:space="preserve">14. </w:t>
      </w:r>
      <w:r w:rsidR="00871655" w:rsidRPr="00A855BB">
        <w:rPr>
          <w:rFonts w:ascii="Arial" w:hAnsi="Arial" w:cs="Arial"/>
          <w:sz w:val="24"/>
          <w:szCs w:val="24"/>
        </w:rPr>
        <w:t>Pravilnika)</w:t>
      </w:r>
      <w:r w:rsidRPr="00A855BB">
        <w:rPr>
          <w:rFonts w:ascii="Arial" w:hAnsi="Arial" w:cs="Arial"/>
          <w:sz w:val="24"/>
          <w:szCs w:val="24"/>
        </w:rPr>
        <w:t>.</w:t>
      </w:r>
    </w:p>
    <w:p w:rsidR="00B6737C" w:rsidRPr="00A855BB" w:rsidRDefault="00871655" w:rsidP="00EB78B8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 xml:space="preserve">koje je </w:t>
      </w:r>
      <w:r w:rsidR="009A2A3A" w:rsidRPr="00A855BB">
        <w:rPr>
          <w:rFonts w:cs="Arial"/>
          <w:sz w:val="24"/>
          <w:szCs w:val="24"/>
        </w:rPr>
        <w:t xml:space="preserve">izradio je operator - </w:t>
      </w:r>
      <w:r w:rsidRPr="00A855BB">
        <w:rPr>
          <w:rFonts w:cs="Arial"/>
          <w:sz w:val="24"/>
          <w:szCs w:val="24"/>
          <w:lang w:val="bs-Latn-BA"/>
        </w:rPr>
        <w:t>Interpromet d.o.o. Vitez</w:t>
      </w:r>
      <w:r w:rsidR="008C1D4A" w:rsidRPr="00A855BB">
        <w:rPr>
          <w:rFonts w:cs="Arial"/>
          <w:sz w:val="24"/>
          <w:szCs w:val="24"/>
        </w:rPr>
        <w:t>.</w:t>
      </w:r>
    </w:p>
    <w:p w:rsidR="008C1D4A" w:rsidRPr="00A855BB" w:rsidRDefault="00B6737C" w:rsidP="00EB78B8">
      <w:pPr>
        <w:pStyle w:val="BodyText2"/>
        <w:rPr>
          <w:rFonts w:cs="Arial"/>
          <w:sz w:val="24"/>
          <w:szCs w:val="24"/>
          <w:lang w:val="bs-Latn-BA"/>
        </w:rPr>
      </w:pPr>
      <w:r w:rsidRPr="00A855BB">
        <w:rPr>
          <w:rFonts w:cs="Arial"/>
          <w:sz w:val="24"/>
          <w:szCs w:val="24"/>
          <w:lang w:val="bs-Latn-BA"/>
        </w:rPr>
        <w:t xml:space="preserve">Postupak rješavanja podnešenog zahtjeva  izvršen je prema odredbama čl. </w:t>
      </w:r>
      <w:r w:rsidR="00BB02FD" w:rsidRPr="00A855BB">
        <w:rPr>
          <w:rFonts w:cs="Arial"/>
          <w:sz w:val="24"/>
          <w:szCs w:val="24"/>
          <w:lang w:val="bs-Latn-BA"/>
        </w:rPr>
        <w:t>102</w:t>
      </w:r>
      <w:r w:rsidRPr="00A855BB">
        <w:rPr>
          <w:rFonts w:cs="Arial"/>
          <w:sz w:val="24"/>
          <w:szCs w:val="24"/>
          <w:lang w:val="bs-Latn-BA"/>
        </w:rPr>
        <w:t xml:space="preserve">. do </w:t>
      </w:r>
      <w:r w:rsidR="00BB02FD" w:rsidRPr="00A855BB">
        <w:rPr>
          <w:rFonts w:cs="Arial"/>
          <w:sz w:val="24"/>
          <w:szCs w:val="24"/>
          <w:lang w:val="bs-Latn-BA"/>
        </w:rPr>
        <w:t>113. Zakona i o</w:t>
      </w:r>
      <w:r w:rsidR="00DD791E" w:rsidRPr="00A855BB">
        <w:rPr>
          <w:rFonts w:cs="Arial"/>
          <w:sz w:val="24"/>
          <w:szCs w:val="24"/>
          <w:lang w:val="bs-Latn-BA"/>
        </w:rPr>
        <w:t>dredbama čl 7., 8. 10. 14. i 16</w:t>
      </w:r>
      <w:r w:rsidRPr="00A855BB">
        <w:rPr>
          <w:rFonts w:cs="Arial"/>
          <w:sz w:val="24"/>
          <w:szCs w:val="24"/>
          <w:lang w:val="bs-Latn-BA"/>
        </w:rPr>
        <w:t xml:space="preserve">. </w:t>
      </w:r>
      <w:r w:rsidR="00BB02FD" w:rsidRPr="00A855BB">
        <w:rPr>
          <w:rFonts w:cs="Arial"/>
          <w:sz w:val="24"/>
          <w:szCs w:val="24"/>
          <w:lang w:val="bs-Latn-BA"/>
        </w:rPr>
        <w:t>Pravilnika</w:t>
      </w:r>
      <w:r w:rsidRPr="00A855BB">
        <w:rPr>
          <w:rFonts w:cs="Arial"/>
          <w:sz w:val="24"/>
          <w:szCs w:val="24"/>
          <w:lang w:val="bs-Latn-BA"/>
        </w:rPr>
        <w:t xml:space="preserve">. U tom postupku izvršen je uvid u </w:t>
      </w:r>
      <w:r w:rsidR="00BB02FD" w:rsidRPr="00A855BB">
        <w:rPr>
          <w:rFonts w:cs="Arial"/>
          <w:sz w:val="24"/>
          <w:szCs w:val="24"/>
          <w:lang w:val="bs-Latn-BA"/>
        </w:rPr>
        <w:t xml:space="preserve">dostavljenu dokumentaciju, njen sadržaj i da li je odgovoreno po svim stavkama o sadržaju, te </w:t>
      </w:r>
      <w:r w:rsidRPr="00A855BB">
        <w:rPr>
          <w:rFonts w:cs="Arial"/>
          <w:sz w:val="24"/>
          <w:szCs w:val="24"/>
          <w:lang w:val="bs-Latn-BA"/>
        </w:rPr>
        <w:t xml:space="preserve">utvrđeno je da je </w:t>
      </w:r>
      <w:r w:rsidR="00BB02FD" w:rsidRPr="00A855BB">
        <w:rPr>
          <w:rFonts w:cs="Arial"/>
          <w:sz w:val="24"/>
          <w:szCs w:val="24"/>
          <w:lang w:val="bs-Latn-BA"/>
        </w:rPr>
        <w:t>dokumentacija</w:t>
      </w:r>
      <w:r w:rsidRPr="00A855BB">
        <w:rPr>
          <w:rFonts w:cs="Arial"/>
          <w:sz w:val="24"/>
          <w:szCs w:val="24"/>
          <w:lang w:val="bs-Latn-BA"/>
        </w:rPr>
        <w:t xml:space="preserve"> podnesen</w:t>
      </w:r>
      <w:r w:rsidR="00BB02FD" w:rsidRPr="00A855BB">
        <w:rPr>
          <w:rFonts w:cs="Arial"/>
          <w:sz w:val="24"/>
          <w:szCs w:val="24"/>
          <w:lang w:val="bs-Latn-BA"/>
        </w:rPr>
        <w:t>a na propisanim obrascima</w:t>
      </w:r>
      <w:r w:rsidRPr="00A855BB">
        <w:rPr>
          <w:rFonts w:cs="Arial"/>
          <w:sz w:val="24"/>
          <w:szCs w:val="24"/>
          <w:lang w:val="bs-Latn-BA"/>
        </w:rPr>
        <w:t xml:space="preserve"> i da sadrži sve podatke utvrđene </w:t>
      </w:r>
      <w:r w:rsidR="00BB02FD" w:rsidRPr="00A855BB">
        <w:rPr>
          <w:rFonts w:cs="Arial"/>
          <w:sz w:val="24"/>
          <w:szCs w:val="24"/>
          <w:lang w:val="bs-Latn-BA"/>
        </w:rPr>
        <w:t>Zakonom i Pravilnokom</w:t>
      </w:r>
      <w:r w:rsidRPr="00A855BB">
        <w:rPr>
          <w:rFonts w:cs="Arial"/>
          <w:sz w:val="24"/>
          <w:szCs w:val="24"/>
          <w:lang w:val="bs-Latn-BA"/>
        </w:rPr>
        <w:t xml:space="preserve">, kao i izjava podnosioca zahtjeva data prema članu </w:t>
      </w:r>
      <w:r w:rsidR="00BB02FD" w:rsidRPr="00A855BB">
        <w:rPr>
          <w:rFonts w:cs="Arial"/>
          <w:sz w:val="24"/>
          <w:szCs w:val="24"/>
          <w:lang w:val="bs-Latn-BA"/>
        </w:rPr>
        <w:t>7</w:t>
      </w:r>
      <w:r w:rsidRPr="00A855BB">
        <w:rPr>
          <w:rFonts w:cs="Arial"/>
          <w:sz w:val="24"/>
          <w:szCs w:val="24"/>
          <w:lang w:val="bs-Latn-BA"/>
        </w:rPr>
        <w:t>. stav (</w:t>
      </w:r>
      <w:r w:rsidR="00BB02FD" w:rsidRPr="00A855BB">
        <w:rPr>
          <w:rFonts w:cs="Arial"/>
          <w:sz w:val="24"/>
          <w:szCs w:val="24"/>
          <w:lang w:val="bs-Latn-BA"/>
        </w:rPr>
        <w:t>2</w:t>
      </w:r>
      <w:r w:rsidRPr="00A855BB">
        <w:rPr>
          <w:rFonts w:cs="Arial"/>
          <w:sz w:val="24"/>
          <w:szCs w:val="24"/>
          <w:lang w:val="bs-Latn-BA"/>
        </w:rPr>
        <w:t xml:space="preserve">) </w:t>
      </w:r>
      <w:r w:rsidR="00BB02FD" w:rsidRPr="00A855BB">
        <w:rPr>
          <w:rFonts w:cs="Arial"/>
          <w:sz w:val="24"/>
          <w:szCs w:val="24"/>
          <w:lang w:val="bs-Latn-BA"/>
        </w:rPr>
        <w:t>Pravilnika, tj. na obrascu Priloga IV Pravilnika</w:t>
      </w:r>
      <w:r w:rsidRPr="00A855BB">
        <w:rPr>
          <w:rFonts w:cs="Arial"/>
          <w:sz w:val="24"/>
          <w:szCs w:val="24"/>
          <w:lang w:val="bs-Latn-BA"/>
        </w:rPr>
        <w:t>.</w:t>
      </w:r>
    </w:p>
    <w:p w:rsidR="00EB78B8" w:rsidRPr="00A855BB" w:rsidRDefault="00B6737C" w:rsidP="008C1D4A">
      <w:pPr>
        <w:pStyle w:val="BodyText2"/>
        <w:rPr>
          <w:rFonts w:cs="Arial"/>
          <w:sz w:val="24"/>
          <w:szCs w:val="24"/>
          <w:lang w:val="bs-Latn-BA"/>
        </w:rPr>
      </w:pPr>
      <w:r w:rsidRPr="00A855BB">
        <w:rPr>
          <w:rFonts w:cs="Arial"/>
          <w:sz w:val="24"/>
          <w:szCs w:val="24"/>
          <w:lang w:val="bs-Latn-BA"/>
        </w:rPr>
        <w:t xml:space="preserve"> Na osnovu podataka sadržanih u </w:t>
      </w:r>
      <w:r w:rsidR="00BB02FD" w:rsidRPr="00A855BB">
        <w:rPr>
          <w:rFonts w:cs="Arial"/>
          <w:sz w:val="24"/>
          <w:szCs w:val="24"/>
          <w:lang w:val="bs-Latn-BA"/>
        </w:rPr>
        <w:t>priloženoj</w:t>
      </w:r>
      <w:r w:rsidRPr="00A855BB">
        <w:rPr>
          <w:rFonts w:cs="Arial"/>
          <w:sz w:val="24"/>
          <w:szCs w:val="24"/>
          <w:lang w:val="bs-Latn-BA"/>
        </w:rPr>
        <w:t xml:space="preserve"> dokumentacije utvrđeno je da </w:t>
      </w:r>
      <w:r w:rsidR="00BB02FD" w:rsidRPr="00A855BB">
        <w:rPr>
          <w:rFonts w:cs="Arial"/>
          <w:sz w:val="24"/>
          <w:szCs w:val="24"/>
          <w:lang w:val="bs-Latn-BA"/>
        </w:rPr>
        <w:t>skladišta</w:t>
      </w:r>
      <w:r w:rsidRPr="00A855BB">
        <w:rPr>
          <w:rFonts w:cs="Arial"/>
          <w:sz w:val="24"/>
          <w:szCs w:val="24"/>
          <w:lang w:val="bs-Latn-BA"/>
        </w:rPr>
        <w:t xml:space="preserve"> spadaju u </w:t>
      </w:r>
      <w:r w:rsidR="00B8011C" w:rsidRPr="00A855BB">
        <w:rPr>
          <w:rFonts w:cs="Arial"/>
          <w:sz w:val="24"/>
          <w:szCs w:val="24"/>
        </w:rPr>
        <w:t>Prilogu Ia. Dio 1. kolona 3. ili Prilogu Ia. Dio 2. kolona 3 Pravilnika</w:t>
      </w:r>
      <w:r w:rsidRPr="00A855BB">
        <w:rPr>
          <w:rFonts w:cs="Arial"/>
          <w:sz w:val="24"/>
          <w:szCs w:val="24"/>
          <w:lang w:val="bs-Latn-BA"/>
        </w:rPr>
        <w:t xml:space="preserve"> i po tom osnovu rješavanje podnešenog zahtjeva spada u nadležnost Federalnog ministarstva okoliša i turizma kako je utvrđeno u članu </w:t>
      </w:r>
      <w:r w:rsidR="00B8011C" w:rsidRPr="00A855BB">
        <w:rPr>
          <w:rFonts w:cs="Arial"/>
          <w:sz w:val="24"/>
          <w:szCs w:val="24"/>
          <w:lang w:val="bs-Latn-BA"/>
        </w:rPr>
        <w:t xml:space="preserve">102. i 103. Zakona. </w:t>
      </w:r>
      <w:r w:rsidRPr="00A855BB">
        <w:rPr>
          <w:rFonts w:cs="Arial"/>
          <w:sz w:val="24"/>
          <w:szCs w:val="24"/>
          <w:lang w:val="bs-Latn-BA"/>
        </w:rPr>
        <w:t>U okviru utvrđivanja činjeničnog stanja Ministarstvo je provelo radnje na učešću javnosti u rješavanju zahtjeva stranke koje su utvrđene u članu 88. Zakona.</w:t>
      </w:r>
    </w:p>
    <w:p w:rsidR="009A2A3A" w:rsidRPr="00A855BB" w:rsidRDefault="009A2A3A" w:rsidP="00EB78B8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A855BB">
        <w:rPr>
          <w:rFonts w:ascii="Arial" w:hAnsi="Arial" w:cs="Arial"/>
          <w:sz w:val="24"/>
          <w:szCs w:val="24"/>
        </w:rPr>
        <w:t>Pri donošenju odluke kao u dispozitivu ovog rješenja Federalno ministarstvo okoliša i turizma cijenilo je kao relevantne slijedeće dostavljene dokaze:</w:t>
      </w:r>
    </w:p>
    <w:p w:rsidR="009A2A3A" w:rsidRPr="00A855BB" w:rsidRDefault="009A2A3A" w:rsidP="00EB78B8">
      <w:pPr>
        <w:pStyle w:val="Title"/>
        <w:numPr>
          <w:ilvl w:val="0"/>
          <w:numId w:val="11"/>
        </w:numPr>
        <w:tabs>
          <w:tab w:val="clear" w:pos="1080"/>
          <w:tab w:val="num" w:pos="540"/>
        </w:tabs>
        <w:ind w:left="540" w:hanging="256"/>
        <w:jc w:val="both"/>
        <w:rPr>
          <w:rFonts w:ascii="Arial" w:hAnsi="Arial" w:cs="Arial"/>
          <w:b w:val="0"/>
          <w:szCs w:val="24"/>
        </w:rPr>
      </w:pPr>
      <w:r w:rsidRPr="00A855BB">
        <w:rPr>
          <w:rFonts w:ascii="Arial" w:hAnsi="Arial" w:cs="Arial"/>
          <w:b w:val="0"/>
          <w:szCs w:val="24"/>
        </w:rPr>
        <w:t xml:space="preserve">Izvod iz prostorno planske dokumentacije, </w:t>
      </w:r>
    </w:p>
    <w:p w:rsidR="009A2A3A" w:rsidRPr="00A855BB" w:rsidRDefault="009A2A3A" w:rsidP="00EB78B8">
      <w:pPr>
        <w:numPr>
          <w:ilvl w:val="0"/>
          <w:numId w:val="10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256"/>
        <w:jc w:val="both"/>
        <w:rPr>
          <w:rFonts w:ascii="Arial" w:hAnsi="Arial" w:cs="Arial"/>
          <w:sz w:val="24"/>
          <w:szCs w:val="24"/>
        </w:rPr>
      </w:pPr>
      <w:r w:rsidRPr="00A855BB">
        <w:rPr>
          <w:rFonts w:ascii="Arial" w:hAnsi="Arial" w:cs="Arial"/>
          <w:sz w:val="24"/>
          <w:szCs w:val="24"/>
        </w:rPr>
        <w:t xml:space="preserve">Procjena ugroženosti od požara i </w:t>
      </w:r>
    </w:p>
    <w:p w:rsidR="009A2A3A" w:rsidRPr="00A855BB" w:rsidRDefault="009A2A3A" w:rsidP="00EB78B8">
      <w:pPr>
        <w:numPr>
          <w:ilvl w:val="0"/>
          <w:numId w:val="10"/>
        </w:numPr>
        <w:shd w:val="clear" w:color="auto" w:fill="FFFFFF"/>
        <w:tabs>
          <w:tab w:val="clear" w:pos="1080"/>
          <w:tab w:val="num" w:pos="540"/>
        </w:tabs>
        <w:spacing w:after="0" w:line="240" w:lineRule="auto"/>
        <w:ind w:left="540" w:hanging="256"/>
        <w:jc w:val="both"/>
        <w:rPr>
          <w:rFonts w:ascii="Arial" w:hAnsi="Arial" w:cs="Arial"/>
          <w:sz w:val="24"/>
          <w:szCs w:val="24"/>
        </w:rPr>
      </w:pPr>
      <w:r w:rsidRPr="00A855BB">
        <w:rPr>
          <w:rFonts w:ascii="Arial" w:hAnsi="Arial" w:cs="Arial"/>
          <w:sz w:val="24"/>
          <w:szCs w:val="24"/>
        </w:rPr>
        <w:t>Plan zaštite od požara.</w:t>
      </w:r>
    </w:p>
    <w:p w:rsidR="009A2A3A" w:rsidRPr="00A855BB" w:rsidRDefault="008C1D4A" w:rsidP="00EB78B8">
      <w:pPr>
        <w:tabs>
          <w:tab w:val="num" w:pos="720"/>
          <w:tab w:val="left" w:pos="1152"/>
        </w:tabs>
        <w:spacing w:after="0" w:line="240" w:lineRule="auto"/>
        <w:ind w:hanging="1860"/>
        <w:jc w:val="both"/>
        <w:rPr>
          <w:rFonts w:ascii="Arial" w:hAnsi="Arial" w:cs="Arial"/>
          <w:sz w:val="24"/>
          <w:szCs w:val="24"/>
        </w:rPr>
      </w:pPr>
      <w:r w:rsidRPr="00A855BB">
        <w:rPr>
          <w:rFonts w:ascii="Arial" w:hAnsi="Arial" w:cs="Arial"/>
          <w:sz w:val="24"/>
          <w:szCs w:val="24"/>
        </w:rPr>
        <w:t xml:space="preserve">  </w:t>
      </w:r>
    </w:p>
    <w:p w:rsidR="009A2A3A" w:rsidRPr="00A855BB" w:rsidRDefault="009A2A3A" w:rsidP="00A855BB">
      <w:pPr>
        <w:pStyle w:val="BodyText2"/>
        <w:rPr>
          <w:rFonts w:cs="Arial"/>
          <w:sz w:val="24"/>
          <w:szCs w:val="24"/>
          <w:lang w:val="en-US"/>
        </w:rPr>
      </w:pPr>
      <w:r w:rsidRPr="00A855BB">
        <w:rPr>
          <w:rFonts w:cs="Arial"/>
          <w:sz w:val="24"/>
          <w:szCs w:val="24"/>
          <w:lang w:val="en-US"/>
        </w:rPr>
        <w:t>Federalno ministarstvo je dopisom o pokrenutom upravnom postupku</w:t>
      </w:r>
      <w:r w:rsidR="00F70E3A" w:rsidRPr="00A855BB">
        <w:rPr>
          <w:rFonts w:cs="Arial"/>
          <w:sz w:val="24"/>
          <w:szCs w:val="24"/>
          <w:lang w:val="en-US"/>
        </w:rPr>
        <w:t>, a zbog obaveze uključivanja javnosti,</w:t>
      </w:r>
      <w:r w:rsidRPr="00A855BB">
        <w:rPr>
          <w:rFonts w:cs="Arial"/>
          <w:sz w:val="24"/>
          <w:szCs w:val="24"/>
          <w:lang w:val="en-US"/>
        </w:rPr>
        <w:t xml:space="preserve"> obavijestilo </w:t>
      </w:r>
      <w:r w:rsidR="00871655" w:rsidRPr="00A855BB">
        <w:rPr>
          <w:rFonts w:cs="Arial"/>
          <w:sz w:val="24"/>
          <w:szCs w:val="24"/>
          <w:lang w:val="en-US"/>
        </w:rPr>
        <w:t>Općinu Vitez</w:t>
      </w:r>
      <w:r w:rsidRPr="00A855BB">
        <w:rPr>
          <w:rFonts w:cs="Arial"/>
          <w:sz w:val="24"/>
          <w:szCs w:val="24"/>
          <w:lang w:val="en-US"/>
        </w:rPr>
        <w:t xml:space="preserve"> i </w:t>
      </w:r>
      <w:r w:rsidR="00871655" w:rsidRPr="00A855BB">
        <w:rPr>
          <w:rFonts w:cs="Arial"/>
          <w:sz w:val="24"/>
          <w:szCs w:val="24"/>
          <w:lang w:val="en-US"/>
        </w:rPr>
        <w:t>Federalnu upravu civilne zaštite</w:t>
      </w:r>
      <w:r w:rsidRPr="00A855BB">
        <w:rPr>
          <w:rFonts w:cs="Arial"/>
          <w:sz w:val="24"/>
          <w:szCs w:val="24"/>
          <w:lang w:val="en-US"/>
        </w:rPr>
        <w:t>.</w:t>
      </w:r>
    </w:p>
    <w:p w:rsidR="007C7E5E" w:rsidRPr="00A855BB" w:rsidRDefault="007C7E5E" w:rsidP="007C7E5E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>Federalna uprava civilne zaštite, iako je to propisano članom 113. Zakona da je ista nadležna na osnovu unutrašnjeg plana intervencije sa sadržanim mjerama koje će se poduzeti u slučaju nesreće većih razmjera izraditi vanjske planove intervencije za mjere koje će se poduzeti izvan pogona i postrojenja/skladišta, dopisom broj 05-02-2-432/2021 od 29.11.2021. godine odgovorila da Uprava nije nadležna za davanje mišljenja jer odredbe navedenog Zakona i Pravilnika o pogonima, postrojenjima i skladištima u kojima su prisutne opasne supstance koje mogu dovesti do nesreća većih razmjera ("Službene novine Federacije BiH", broj: 51/21) nisu usklađene sa Zakonom o zaštiti i spašavanju ljudi i materijalnih dobara od prirodnih i drugih nesreća (("Službene novine Federacije BiH", br.: 39/03, 22/06 i 43/10).</w:t>
      </w:r>
    </w:p>
    <w:p w:rsidR="009A2A3A" w:rsidRPr="00A855BB" w:rsidRDefault="009A2A3A" w:rsidP="00EB78B8">
      <w:pPr>
        <w:pStyle w:val="BodyText2"/>
        <w:rPr>
          <w:rFonts w:cs="Arial"/>
          <w:sz w:val="24"/>
          <w:szCs w:val="24"/>
        </w:rPr>
      </w:pPr>
    </w:p>
    <w:p w:rsidR="009A2A3A" w:rsidRPr="00A855BB" w:rsidRDefault="00F70E3A" w:rsidP="00EB78B8">
      <w:pPr>
        <w:pStyle w:val="BodyText2"/>
        <w:rPr>
          <w:rFonts w:cs="Arial"/>
          <w:sz w:val="24"/>
          <w:szCs w:val="24"/>
        </w:rPr>
      </w:pPr>
      <w:r w:rsidRPr="00A855BB">
        <w:rPr>
          <w:rFonts w:cs="Arial"/>
          <w:sz w:val="24"/>
          <w:szCs w:val="24"/>
        </w:rPr>
        <w:t xml:space="preserve">Dokumentacija je, u skladu sa čl. </w:t>
      </w:r>
      <w:r w:rsidR="00987485" w:rsidRPr="00A855BB">
        <w:rPr>
          <w:rFonts w:cs="Arial"/>
          <w:sz w:val="24"/>
          <w:szCs w:val="24"/>
        </w:rPr>
        <w:t>105 stavak (5) i 110. stavak (3)</w:t>
      </w:r>
      <w:r w:rsidRPr="00A855BB">
        <w:rPr>
          <w:rFonts w:cs="Arial"/>
          <w:sz w:val="24"/>
          <w:szCs w:val="24"/>
        </w:rPr>
        <w:t xml:space="preserve"> stavljena na javni uvid</w:t>
      </w:r>
      <w:r w:rsidR="009A2A3A" w:rsidRPr="00A855BB">
        <w:rPr>
          <w:rFonts w:cs="Arial"/>
          <w:sz w:val="24"/>
          <w:szCs w:val="24"/>
        </w:rPr>
        <w:t xml:space="preserve"> na web</w:t>
      </w:r>
      <w:r w:rsidRPr="00A855BB">
        <w:rPr>
          <w:rFonts w:cs="Arial"/>
          <w:sz w:val="24"/>
          <w:szCs w:val="24"/>
        </w:rPr>
        <w:t xml:space="preserve"> stranici Federalnog ministarstva okoliša i turizma:</w:t>
      </w:r>
      <w:r w:rsidR="009A2A3A" w:rsidRPr="00A855BB">
        <w:rPr>
          <w:rFonts w:cs="Arial"/>
          <w:sz w:val="24"/>
          <w:szCs w:val="24"/>
        </w:rPr>
        <w:t xml:space="preserve"> </w:t>
      </w:r>
      <w:hyperlink r:id="rId8" w:history="1">
        <w:r w:rsidR="00C32C68" w:rsidRPr="00A855BB">
          <w:rPr>
            <w:rStyle w:val="Hyperlink"/>
            <w:rFonts w:cs="Arial"/>
            <w:color w:val="auto"/>
            <w:sz w:val="24"/>
            <w:szCs w:val="24"/>
          </w:rPr>
          <w:t>https://www.fmoit.gov.ba/bs/okolisne-dozvole/javne-rasprave-i-javni-uvidi/javni-uvid-u-zahtjev-za-izdavanje-okolisne-dozvole-privrednom-subjektu-privrednom-drustvu-interpromet-d-o-o-vitez</w:t>
        </w:r>
      </w:hyperlink>
      <w:r w:rsidR="00C32C68" w:rsidRPr="00A855BB">
        <w:rPr>
          <w:rFonts w:cs="Arial"/>
          <w:sz w:val="24"/>
          <w:szCs w:val="24"/>
        </w:rPr>
        <w:t xml:space="preserve"> </w:t>
      </w:r>
      <w:r w:rsidR="00871655" w:rsidRPr="00A855BB">
        <w:rPr>
          <w:rFonts w:cs="Arial"/>
          <w:sz w:val="24"/>
          <w:szCs w:val="24"/>
        </w:rPr>
        <w:t>od 29. 10.2021</w:t>
      </w:r>
      <w:r w:rsidR="007E2720" w:rsidRPr="00A855BB">
        <w:rPr>
          <w:rFonts w:cs="Arial"/>
          <w:sz w:val="24"/>
          <w:szCs w:val="24"/>
        </w:rPr>
        <w:t>. godine.</w:t>
      </w:r>
    </w:p>
    <w:p w:rsidR="008C1D4A" w:rsidRPr="00A855BB" w:rsidRDefault="00B6737C" w:rsidP="00EB78B8">
      <w:pPr>
        <w:pStyle w:val="BodyText2"/>
        <w:rPr>
          <w:rFonts w:cs="Arial"/>
          <w:sz w:val="24"/>
          <w:szCs w:val="24"/>
          <w:lang w:val="bs-Latn-BA"/>
        </w:rPr>
      </w:pPr>
      <w:r w:rsidRPr="00A855BB">
        <w:rPr>
          <w:rFonts w:cs="Arial"/>
          <w:sz w:val="24"/>
          <w:szCs w:val="24"/>
          <w:lang w:val="bs-Latn-BA"/>
        </w:rPr>
        <w:t>Nakon provedenog postupka za obavještavanje javnosti, izrađen je nac</w:t>
      </w:r>
      <w:r w:rsidR="008C1D4A" w:rsidRPr="00A855BB">
        <w:rPr>
          <w:rFonts w:cs="Arial"/>
          <w:sz w:val="24"/>
          <w:szCs w:val="24"/>
          <w:lang w:val="bs-Latn-BA"/>
        </w:rPr>
        <w:t>rt rješenja o izdavanju okolišn</w:t>
      </w:r>
      <w:r w:rsidRPr="00A855BB">
        <w:rPr>
          <w:rFonts w:cs="Arial"/>
          <w:sz w:val="24"/>
          <w:szCs w:val="24"/>
          <w:lang w:val="bs-Latn-BA"/>
        </w:rPr>
        <w:t>e dozvole kako je utvrđeno u članu 88. stav</w:t>
      </w:r>
      <w:r w:rsidR="00EB78B8" w:rsidRPr="00A855BB">
        <w:rPr>
          <w:rFonts w:cs="Arial"/>
          <w:sz w:val="24"/>
          <w:szCs w:val="24"/>
          <w:lang w:val="bs-Latn-BA"/>
        </w:rPr>
        <w:t>ak</w:t>
      </w:r>
      <w:r w:rsidR="008C1D4A" w:rsidRPr="00A855BB">
        <w:rPr>
          <w:rFonts w:cs="Arial"/>
          <w:sz w:val="24"/>
          <w:szCs w:val="24"/>
          <w:lang w:val="bs-Latn-BA"/>
        </w:rPr>
        <w:t xml:space="preserve"> (5) Zakona.  </w:t>
      </w:r>
    </w:p>
    <w:p w:rsidR="00B6737C" w:rsidRPr="00A855BB" w:rsidRDefault="008C1D4A" w:rsidP="00EB78B8">
      <w:pPr>
        <w:pStyle w:val="BodyText2"/>
        <w:rPr>
          <w:rFonts w:cs="Arial"/>
          <w:sz w:val="24"/>
          <w:szCs w:val="24"/>
          <w:lang w:val="bs-Latn-BA"/>
        </w:rPr>
      </w:pPr>
      <w:r w:rsidRPr="00A855BB">
        <w:rPr>
          <w:rFonts w:cs="Arial"/>
          <w:sz w:val="24"/>
          <w:szCs w:val="24"/>
          <w:lang w:val="bs-Latn-BA"/>
        </w:rPr>
        <w:lastRenderedPageBreak/>
        <w:t>Rj</w:t>
      </w:r>
      <w:r w:rsidR="00B6737C" w:rsidRPr="00A855BB">
        <w:rPr>
          <w:rFonts w:cs="Arial"/>
          <w:sz w:val="24"/>
          <w:szCs w:val="24"/>
          <w:lang w:val="bs-Latn-BA"/>
        </w:rPr>
        <w:t>ešenje je izrađeno na osnovu podataka sadržanih u</w:t>
      </w:r>
      <w:r w:rsidR="00DD791E" w:rsidRPr="00A855BB">
        <w:rPr>
          <w:rFonts w:cs="Arial"/>
          <w:sz w:val="24"/>
          <w:szCs w:val="24"/>
          <w:lang w:val="bs-Latn-BA"/>
        </w:rPr>
        <w:t xml:space="preserve"> podnešenoj dokumentaciji</w:t>
      </w:r>
      <w:r w:rsidR="00B6737C" w:rsidRPr="00A855BB">
        <w:rPr>
          <w:rFonts w:cs="Arial"/>
          <w:sz w:val="24"/>
          <w:szCs w:val="24"/>
          <w:lang w:val="bs-Latn-BA"/>
        </w:rPr>
        <w:t>, mišljenja javnosti koja su data u postupku koji je proveden prema članu 88. Zakona.</w:t>
      </w:r>
    </w:p>
    <w:p w:rsidR="00B6737C" w:rsidRPr="00A855BB" w:rsidRDefault="00B6737C" w:rsidP="00EB78B8">
      <w:pPr>
        <w:pStyle w:val="BodyText2"/>
        <w:rPr>
          <w:rFonts w:cs="Arial"/>
          <w:sz w:val="24"/>
          <w:szCs w:val="24"/>
          <w:lang w:val="bs-Latn-BA"/>
        </w:rPr>
      </w:pPr>
    </w:p>
    <w:p w:rsidR="00061A52" w:rsidRPr="00A855BB" w:rsidRDefault="009A2A3A" w:rsidP="00EB78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55BB">
        <w:rPr>
          <w:rFonts w:ascii="Arial" w:hAnsi="Arial" w:cs="Arial"/>
          <w:sz w:val="24"/>
          <w:szCs w:val="24"/>
        </w:rPr>
        <w:t xml:space="preserve">    Ovo rješenje je konačno u upravnom postupku i protiv istog nije dopuštena žalba. Protiv ovog rješenja može se pokrenuti upravni spor podnošenjem tužbe kod Kantonalnog suda u Sarajevu u roku od 30 dana od dana prijema rješenja. Tužba se podnosi u dva istovjetna primjerka i uz istu se prilaže ovo rješenje u originalu ili ovjerenom prepisu. </w:t>
      </w:r>
      <w:r w:rsidR="0047051F" w:rsidRPr="00A855BB">
        <w:rPr>
          <w:rFonts w:ascii="Arial" w:hAnsi="Arial" w:cs="Arial"/>
          <w:sz w:val="24"/>
          <w:szCs w:val="24"/>
          <w:lang w:val="bs-Latn-BA"/>
        </w:rPr>
        <w:t>.</w:t>
      </w:r>
    </w:p>
    <w:p w:rsidR="00C1030F" w:rsidRPr="00A855BB" w:rsidRDefault="0047051F" w:rsidP="00EB78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A855BB">
        <w:rPr>
          <w:rFonts w:ascii="Arial" w:hAnsi="Arial" w:cs="Arial"/>
          <w:sz w:val="24"/>
          <w:szCs w:val="24"/>
          <w:lang w:val="bs-Latn-BA"/>
        </w:rPr>
        <w:tab/>
        <w:t>Na osnovu provedenog postupka i izvedenih dokaza, utvrđeni su svi podaci</w:t>
      </w:r>
      <w:r w:rsidR="00C22F74" w:rsidRPr="00A855BB">
        <w:rPr>
          <w:rFonts w:ascii="Arial" w:hAnsi="Arial" w:cs="Arial"/>
          <w:sz w:val="24"/>
          <w:szCs w:val="24"/>
          <w:lang w:val="bs-Latn-BA"/>
        </w:rPr>
        <w:t xml:space="preserve"> u skladu sa čl. 104. stavak (2) Zakona</w:t>
      </w:r>
      <w:r w:rsidR="00E96336" w:rsidRPr="00A855BB">
        <w:rPr>
          <w:rFonts w:ascii="Arial" w:hAnsi="Arial" w:cs="Arial"/>
          <w:sz w:val="24"/>
          <w:szCs w:val="24"/>
          <w:lang w:val="bs-Latn-BA"/>
        </w:rPr>
        <w:t>, te</w:t>
      </w:r>
      <w:r w:rsidR="00C1030F" w:rsidRPr="00A855BB">
        <w:rPr>
          <w:rFonts w:ascii="Arial" w:hAnsi="Arial" w:cs="Arial"/>
          <w:sz w:val="24"/>
          <w:szCs w:val="24"/>
          <w:lang w:val="bs-Latn-BA"/>
        </w:rPr>
        <w:t xml:space="preserve">, u skladu sa odredbom člana </w:t>
      </w:r>
      <w:r w:rsidR="006579A8" w:rsidRPr="00A855BB">
        <w:rPr>
          <w:rFonts w:ascii="Arial" w:hAnsi="Arial" w:cs="Arial"/>
          <w:sz w:val="24"/>
          <w:szCs w:val="24"/>
          <w:lang w:val="bs-Latn-BA"/>
        </w:rPr>
        <w:t>89. Zakona</w:t>
      </w:r>
      <w:r w:rsidR="00E96336" w:rsidRPr="00A855BB">
        <w:rPr>
          <w:rFonts w:ascii="Arial" w:hAnsi="Arial" w:cs="Arial"/>
          <w:sz w:val="24"/>
          <w:szCs w:val="24"/>
          <w:lang w:val="bs-Latn-BA"/>
        </w:rPr>
        <w:t>,</w:t>
      </w:r>
      <w:r w:rsidR="006579A8" w:rsidRPr="00A855BB">
        <w:rPr>
          <w:rFonts w:ascii="Arial" w:hAnsi="Arial" w:cs="Arial"/>
          <w:sz w:val="24"/>
          <w:szCs w:val="24"/>
          <w:lang w:val="bs-Latn-BA"/>
        </w:rPr>
        <w:t xml:space="preserve"> </w:t>
      </w:r>
      <w:r w:rsidR="00C1030F" w:rsidRPr="00A855BB">
        <w:rPr>
          <w:rFonts w:ascii="Arial" w:hAnsi="Arial" w:cs="Arial"/>
          <w:sz w:val="24"/>
          <w:szCs w:val="24"/>
          <w:lang w:val="bs-Latn-BA"/>
        </w:rPr>
        <w:t>riješ</w:t>
      </w:r>
      <w:r w:rsidR="00061A52" w:rsidRPr="00A855BB">
        <w:rPr>
          <w:rFonts w:ascii="Arial" w:hAnsi="Arial" w:cs="Arial"/>
          <w:sz w:val="24"/>
          <w:szCs w:val="24"/>
          <w:lang w:val="bs-Latn-BA"/>
        </w:rPr>
        <w:t>eno</w:t>
      </w:r>
      <w:r w:rsidR="00C1030F" w:rsidRPr="00A855BB">
        <w:rPr>
          <w:rFonts w:ascii="Arial" w:hAnsi="Arial" w:cs="Arial"/>
          <w:sz w:val="24"/>
          <w:szCs w:val="24"/>
          <w:lang w:val="bs-Latn-BA"/>
        </w:rPr>
        <w:t xml:space="preserve"> kao u dispozitivu ovog rješenja.</w:t>
      </w:r>
    </w:p>
    <w:p w:rsidR="001F795C" w:rsidRPr="00A855BB" w:rsidRDefault="001F795C" w:rsidP="00EB78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3A60F5" w:rsidRPr="00A855BB" w:rsidRDefault="003A60F5" w:rsidP="00EB78B8">
      <w:pPr>
        <w:spacing w:after="0" w:line="240" w:lineRule="auto"/>
        <w:ind w:firstLine="450"/>
        <w:jc w:val="both"/>
        <w:rPr>
          <w:rFonts w:ascii="Arial" w:hAnsi="Arial" w:cs="Arial"/>
          <w:sz w:val="24"/>
          <w:szCs w:val="24"/>
        </w:rPr>
      </w:pPr>
      <w:r w:rsidRPr="00A855BB">
        <w:rPr>
          <w:rFonts w:ascii="Arial" w:hAnsi="Arial" w:cs="Arial"/>
          <w:sz w:val="24"/>
          <w:szCs w:val="24"/>
        </w:rPr>
        <w:t xml:space="preserve">U skladu sa Zakonom o federalnim upravnim taksama i tarifi federalnih upravnih taksi („Službene novine Federacije BiH“ broj: 43/13), podnosilac zahtjeva je uplatio 250,00 KM na budžetski račun kod UNION banke d.d. Sarajevo. </w:t>
      </w:r>
    </w:p>
    <w:p w:rsidR="003A60F5" w:rsidRPr="00A855BB" w:rsidRDefault="003A60F5" w:rsidP="00EB78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B513E6" w:rsidRPr="00A855BB" w:rsidRDefault="00B513E6" w:rsidP="00EB78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A855BB">
        <w:rPr>
          <w:rFonts w:ascii="Arial" w:hAnsi="Arial" w:cs="Arial"/>
          <w:b/>
          <w:sz w:val="24"/>
          <w:szCs w:val="24"/>
          <w:lang w:val="bs-Latn-BA"/>
        </w:rPr>
        <w:t>Uputa o pravnom lijeku:</w:t>
      </w:r>
    </w:p>
    <w:p w:rsidR="00D95C09" w:rsidRPr="00A855BB" w:rsidRDefault="00D95C09" w:rsidP="00EB78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850629" w:rsidRPr="00A855BB" w:rsidRDefault="00850629" w:rsidP="00EB78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A855BB">
        <w:rPr>
          <w:rFonts w:ascii="Arial" w:hAnsi="Arial" w:cs="Arial"/>
          <w:sz w:val="24"/>
          <w:szCs w:val="24"/>
          <w:lang w:val="bs-Latn-BA"/>
        </w:rPr>
        <w:t>Ovo rješenje je konačno u upravnom postupku i protiv njega nije dopušte</w:t>
      </w:r>
      <w:r w:rsidR="00A50F76" w:rsidRPr="00A855BB">
        <w:rPr>
          <w:rFonts w:ascii="Arial" w:hAnsi="Arial" w:cs="Arial"/>
          <w:sz w:val="24"/>
          <w:szCs w:val="24"/>
          <w:lang w:val="bs-Latn-BA"/>
        </w:rPr>
        <w:t>na žalba, ali se može pokrenuti</w:t>
      </w:r>
      <w:r w:rsidRPr="00A855BB">
        <w:rPr>
          <w:rFonts w:ascii="Arial" w:hAnsi="Arial" w:cs="Arial"/>
          <w:sz w:val="24"/>
          <w:szCs w:val="24"/>
          <w:lang w:val="bs-Latn-BA"/>
        </w:rPr>
        <w:t xml:space="preserve"> upravni spor tužbom pred Kantonalnim sudom u Sarajevu u roku od 30 dana od dana prijema ovog rješenja</w:t>
      </w:r>
      <w:r w:rsidR="007E2720" w:rsidRPr="00A855BB">
        <w:rPr>
          <w:rFonts w:ascii="Arial" w:hAnsi="Arial" w:cs="Arial"/>
          <w:sz w:val="24"/>
          <w:szCs w:val="24"/>
          <w:lang w:val="bs-Latn-BA"/>
        </w:rPr>
        <w:t>.</w:t>
      </w:r>
    </w:p>
    <w:p w:rsidR="00DF05B4" w:rsidRPr="00A855BB" w:rsidRDefault="00DF05B4" w:rsidP="00EB78B8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DF05B4" w:rsidRPr="00A855BB" w:rsidRDefault="00DF05B4" w:rsidP="00EB78B8">
      <w:pPr>
        <w:spacing w:after="0" w:line="240" w:lineRule="auto"/>
        <w:ind w:left="6480"/>
        <w:rPr>
          <w:rFonts w:ascii="Arial" w:hAnsi="Arial" w:cs="Arial"/>
          <w:iCs/>
          <w:sz w:val="24"/>
          <w:szCs w:val="24"/>
        </w:rPr>
      </w:pPr>
      <w:r w:rsidRPr="00A855BB">
        <w:rPr>
          <w:rFonts w:ascii="Arial" w:hAnsi="Arial" w:cs="Arial"/>
          <w:b/>
          <w:iCs/>
          <w:sz w:val="24"/>
          <w:szCs w:val="24"/>
        </w:rPr>
        <w:t xml:space="preserve">     M I N I S T R I C A</w:t>
      </w:r>
    </w:p>
    <w:p w:rsidR="00061A52" w:rsidRPr="00A855BB" w:rsidRDefault="00DF05B4" w:rsidP="00EB78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55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F05B4" w:rsidRPr="00A855BB" w:rsidRDefault="00061A52" w:rsidP="00061A52">
      <w:pPr>
        <w:spacing w:after="0" w:line="240" w:lineRule="auto"/>
        <w:ind w:left="5664" w:firstLine="708"/>
        <w:rPr>
          <w:rFonts w:ascii="Arial" w:hAnsi="Arial" w:cs="Arial"/>
          <w:b/>
          <w:sz w:val="24"/>
          <w:szCs w:val="24"/>
        </w:rPr>
      </w:pPr>
      <w:r w:rsidRPr="00A855BB">
        <w:rPr>
          <w:rFonts w:ascii="Arial" w:hAnsi="Arial" w:cs="Arial"/>
          <w:sz w:val="24"/>
          <w:szCs w:val="24"/>
        </w:rPr>
        <w:t xml:space="preserve">            </w:t>
      </w:r>
      <w:r w:rsidR="00987485" w:rsidRPr="00A855BB">
        <w:rPr>
          <w:rFonts w:ascii="Arial" w:hAnsi="Arial" w:cs="Arial"/>
          <w:b/>
          <w:sz w:val="24"/>
          <w:szCs w:val="24"/>
        </w:rPr>
        <w:t>dr Edita Đap</w:t>
      </w:r>
      <w:r w:rsidR="00EB78B8" w:rsidRPr="00A855BB">
        <w:rPr>
          <w:rFonts w:ascii="Arial" w:hAnsi="Arial" w:cs="Arial"/>
          <w:b/>
          <w:sz w:val="24"/>
          <w:szCs w:val="24"/>
        </w:rPr>
        <w:t>o</w:t>
      </w:r>
    </w:p>
    <w:p w:rsidR="00DF05B4" w:rsidRPr="00A855BB" w:rsidRDefault="00DF05B4" w:rsidP="00EB78B8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850629" w:rsidRPr="00A855BB" w:rsidRDefault="00850629" w:rsidP="00EB78B8">
      <w:pPr>
        <w:spacing w:after="0" w:line="240" w:lineRule="auto"/>
        <w:rPr>
          <w:rFonts w:ascii="Arial" w:hAnsi="Arial" w:cs="Arial"/>
          <w:i/>
          <w:sz w:val="24"/>
          <w:szCs w:val="24"/>
          <w:lang w:val="bs-Latn-BA"/>
        </w:rPr>
      </w:pPr>
      <w:r w:rsidRPr="00A855BB">
        <w:rPr>
          <w:rFonts w:ascii="Arial" w:hAnsi="Arial" w:cs="Arial"/>
          <w:i/>
          <w:sz w:val="24"/>
          <w:szCs w:val="24"/>
          <w:lang w:val="bs-Latn-BA"/>
        </w:rPr>
        <w:t>Dostavljeno:</w:t>
      </w:r>
    </w:p>
    <w:p w:rsidR="00850629" w:rsidRPr="00A855BB" w:rsidRDefault="00987485" w:rsidP="00EB78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  <w:lang w:val="bs-Latn-BA"/>
        </w:rPr>
      </w:pPr>
      <w:r w:rsidRPr="00A855BB">
        <w:rPr>
          <w:rFonts w:ascii="Arial" w:hAnsi="Arial" w:cs="Arial"/>
          <w:i/>
          <w:sz w:val="24"/>
          <w:szCs w:val="24"/>
          <w:lang w:val="bs-Latn-BA"/>
        </w:rPr>
        <w:t>Interpromet d.o.o. Vitez</w:t>
      </w:r>
    </w:p>
    <w:p w:rsidR="00767455" w:rsidRPr="00A855BB" w:rsidRDefault="00767455" w:rsidP="00EB78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  <w:lang w:val="bs-Latn-BA"/>
        </w:rPr>
      </w:pPr>
      <w:r w:rsidRPr="00A855BB">
        <w:rPr>
          <w:rFonts w:ascii="Arial" w:hAnsi="Arial" w:cs="Arial"/>
          <w:i/>
          <w:sz w:val="24"/>
          <w:szCs w:val="24"/>
          <w:lang w:val="bs-Latn-BA"/>
        </w:rPr>
        <w:t>Federalna uprava za inspekcijske poslove</w:t>
      </w:r>
    </w:p>
    <w:p w:rsidR="00767455" w:rsidRPr="00A855BB" w:rsidRDefault="0094613C" w:rsidP="00EB78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  <w:lang w:val="bs-Latn-BA"/>
        </w:rPr>
      </w:pPr>
      <w:r w:rsidRPr="00A855BB">
        <w:rPr>
          <w:rFonts w:ascii="Arial" w:hAnsi="Arial" w:cs="Arial"/>
          <w:i/>
          <w:sz w:val="24"/>
          <w:szCs w:val="24"/>
          <w:lang w:val="bs-Latn-BA"/>
        </w:rPr>
        <w:t xml:space="preserve">Kantonalo </w:t>
      </w:r>
      <w:r w:rsidR="00D971FB" w:rsidRPr="00A855BB">
        <w:rPr>
          <w:rFonts w:ascii="Arial" w:hAnsi="Arial" w:cs="Arial"/>
          <w:i/>
          <w:sz w:val="24"/>
          <w:szCs w:val="24"/>
          <w:lang w:val="bs-Latn-BA"/>
        </w:rPr>
        <w:t>štab civilne zaštite SBK</w:t>
      </w:r>
    </w:p>
    <w:p w:rsidR="00767455" w:rsidRPr="00A855BB" w:rsidRDefault="00DF05B4" w:rsidP="00EB78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  <w:lang w:val="bs-Latn-BA"/>
        </w:rPr>
      </w:pPr>
      <w:r w:rsidRPr="00A855BB">
        <w:rPr>
          <w:rFonts w:ascii="Arial" w:hAnsi="Arial" w:cs="Arial"/>
          <w:i/>
          <w:sz w:val="24"/>
          <w:szCs w:val="24"/>
          <w:lang w:val="bs-Latn-BA"/>
        </w:rPr>
        <w:t>Sektor za okolišne dozvole</w:t>
      </w:r>
    </w:p>
    <w:p w:rsidR="00850629" w:rsidRPr="00A855BB" w:rsidRDefault="00850629" w:rsidP="00EB78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  <w:lang w:val="bs-Latn-BA"/>
        </w:rPr>
      </w:pPr>
      <w:r w:rsidRPr="00A855BB">
        <w:rPr>
          <w:rFonts w:ascii="Arial" w:hAnsi="Arial" w:cs="Arial"/>
          <w:i/>
          <w:sz w:val="24"/>
          <w:szCs w:val="24"/>
          <w:lang w:val="bs-Latn-BA"/>
        </w:rPr>
        <w:t>a/a</w:t>
      </w:r>
    </w:p>
    <w:p w:rsidR="00DF05B4" w:rsidRPr="00A855BB" w:rsidRDefault="00DF05B4" w:rsidP="00EB78B8">
      <w:pPr>
        <w:spacing w:after="0" w:line="240" w:lineRule="auto"/>
        <w:rPr>
          <w:rFonts w:ascii="Arial" w:hAnsi="Arial" w:cs="Arial"/>
          <w:i/>
          <w:sz w:val="24"/>
          <w:lang w:val="bs-Latn-BA"/>
        </w:rPr>
      </w:pPr>
    </w:p>
    <w:p w:rsidR="00DF05B4" w:rsidRPr="00A855BB" w:rsidRDefault="00DF05B4" w:rsidP="00EB78B8">
      <w:pPr>
        <w:spacing w:after="0" w:line="240" w:lineRule="auto"/>
        <w:rPr>
          <w:rFonts w:ascii="Arial" w:hAnsi="Arial" w:cs="Arial"/>
          <w:sz w:val="24"/>
          <w:lang w:val="bs-Latn-BA"/>
        </w:rPr>
      </w:pPr>
    </w:p>
    <w:p w:rsidR="00BE1D25" w:rsidRPr="00A855BB" w:rsidRDefault="00BE1D25" w:rsidP="00EB78B8">
      <w:pPr>
        <w:spacing w:after="0" w:line="240" w:lineRule="auto"/>
        <w:rPr>
          <w:rFonts w:ascii="Arial" w:hAnsi="Arial" w:cs="Arial"/>
          <w:sz w:val="24"/>
          <w:lang w:val="bs-Latn-BA"/>
        </w:rPr>
      </w:pPr>
    </w:p>
    <w:sectPr w:rsidR="00BE1D25" w:rsidRPr="00A855BB" w:rsidSect="00F21E0D">
      <w:headerReference w:type="default" r:id="rId9"/>
      <w:footerReference w:type="default" r:id="rId10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A1" w:rsidRDefault="00763CA1" w:rsidP="001F795C">
      <w:pPr>
        <w:spacing w:after="0" w:line="240" w:lineRule="auto"/>
      </w:pPr>
      <w:r>
        <w:separator/>
      </w:r>
    </w:p>
  </w:endnote>
  <w:endnote w:type="continuationSeparator" w:id="0">
    <w:p w:rsidR="00763CA1" w:rsidRDefault="00763CA1" w:rsidP="001F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A1" w:rsidRPr="000802EF" w:rsidRDefault="00763CA1" w:rsidP="001F795C">
    <w:pPr>
      <w:spacing w:after="0" w:line="240" w:lineRule="auto"/>
      <w:jc w:val="center"/>
      <w:rPr>
        <w:rFonts w:ascii="Arial" w:hAnsi="Arial" w:cs="Arial"/>
        <w:sz w:val="16"/>
        <w:szCs w:val="16"/>
        <w:lang w:val="hr-BA"/>
      </w:rPr>
    </w:pPr>
    <w:r w:rsidRPr="000802EF">
      <w:rPr>
        <w:rFonts w:ascii="Arial" w:hAnsi="Arial" w:cs="Arial"/>
        <w:sz w:val="16"/>
        <w:szCs w:val="16"/>
        <w:lang w:val="hr-BA"/>
      </w:rPr>
      <w:t>Ul.</w:t>
    </w:r>
    <w:r>
      <w:rPr>
        <w:rFonts w:ascii="Arial" w:hAnsi="Arial" w:cs="Arial"/>
        <w:sz w:val="16"/>
        <w:szCs w:val="16"/>
        <w:lang w:val="hr-BA"/>
      </w:rPr>
      <w:t xml:space="preserve"> Hamdije Čemerlića</w:t>
    </w:r>
    <w:r w:rsidRPr="000802EF">
      <w:rPr>
        <w:rFonts w:ascii="Arial" w:hAnsi="Arial" w:cs="Arial"/>
        <w:sz w:val="16"/>
        <w:szCs w:val="16"/>
        <w:lang w:val="hr-BA"/>
      </w:rPr>
      <w:t xml:space="preserve"> br.2, 71 000 Sarajevo, telefon   00 387 33 726 700, telefax 00 387 33 726 747,</w:t>
    </w:r>
  </w:p>
  <w:p w:rsidR="00763CA1" w:rsidRDefault="00763CA1" w:rsidP="001F795C">
    <w:pPr>
      <w:pStyle w:val="Footer"/>
      <w:ind w:right="360"/>
      <w:jc w:val="center"/>
    </w:pPr>
    <w:r w:rsidRPr="000802EF">
      <w:rPr>
        <w:rFonts w:ascii="Arial" w:hAnsi="Arial" w:cs="Arial"/>
        <w:sz w:val="16"/>
        <w:szCs w:val="16"/>
        <w:lang w:val="hr-BA"/>
      </w:rPr>
      <w:t xml:space="preserve">e-mail: </w:t>
    </w:r>
    <w:hyperlink r:id="rId1" w:history="1">
      <w:r w:rsidRPr="000802EF">
        <w:rPr>
          <w:rStyle w:val="Hyperlink"/>
          <w:rFonts w:ascii="Arial" w:hAnsi="Arial" w:cs="Arial"/>
          <w:sz w:val="16"/>
          <w:szCs w:val="16"/>
          <w:lang w:val="hr-BA"/>
        </w:rPr>
        <w:t>fmoits@bih.net.ba</w:t>
      </w:r>
    </w:hyperlink>
    <w:r w:rsidRPr="000802EF">
      <w:rPr>
        <w:rFonts w:ascii="Arial" w:hAnsi="Arial" w:cs="Arial"/>
        <w:sz w:val="16"/>
        <w:szCs w:val="16"/>
        <w:lang w:val="hr-BA"/>
      </w:rPr>
      <w:t>, www.fmoit.gov.ba</w:t>
    </w:r>
  </w:p>
  <w:sdt>
    <w:sdtPr>
      <w:id w:val="-139202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3CA1" w:rsidRDefault="00763CA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5BB">
              <w:rPr>
                <w:b/>
                <w:bCs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5BB"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3CA1" w:rsidRDefault="00763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A1" w:rsidRDefault="00763CA1" w:rsidP="001F795C">
      <w:pPr>
        <w:spacing w:after="0" w:line="240" w:lineRule="auto"/>
      </w:pPr>
      <w:r>
        <w:separator/>
      </w:r>
    </w:p>
  </w:footnote>
  <w:footnote w:type="continuationSeparator" w:id="0">
    <w:p w:rsidR="00763CA1" w:rsidRDefault="00763CA1" w:rsidP="001F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20" w:rsidRDefault="00763CA1">
    <w:pPr>
      <w:pStyle w:val="Header"/>
    </w:pPr>
    <w:r>
      <w:rPr>
        <w:rFonts w:ascii="Arial" w:hAnsi="Arial" w:cs="Arial"/>
        <w:b/>
        <w:color w:val="000000"/>
        <w:lang w:val="en-US"/>
      </w:rPr>
      <w:drawing>
        <wp:inline distT="0" distB="0" distL="0" distR="0" wp14:anchorId="5B978281" wp14:editId="5E766A33">
          <wp:extent cx="5958205" cy="72851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47" t="32567" r="8185" b="54980"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72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C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D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958CF"/>
    <w:multiLevelType w:val="hybridMultilevel"/>
    <w:tmpl w:val="69B483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F5025"/>
    <w:multiLevelType w:val="hybridMultilevel"/>
    <w:tmpl w:val="D78CC616"/>
    <w:lvl w:ilvl="0" w:tplc="E33E6BC4">
      <w:start w:val="1"/>
      <w:numFmt w:val="decimal"/>
      <w:lvlText w:val="%1."/>
      <w:lvlJc w:val="left"/>
      <w:pPr>
        <w:ind w:left="750" w:hanging="390"/>
      </w:pPr>
      <w:rPr>
        <w:rFonts w:ascii="Arial" w:eastAsiaTheme="minorHAnsi" w:hAnsi="Arial" w:cs="Arial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5AB9"/>
    <w:multiLevelType w:val="hybridMultilevel"/>
    <w:tmpl w:val="8F7C0F84"/>
    <w:lvl w:ilvl="0" w:tplc="D44055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A7807"/>
    <w:multiLevelType w:val="hybridMultilevel"/>
    <w:tmpl w:val="21D2D690"/>
    <w:lvl w:ilvl="0" w:tplc="EB8CDEC8">
      <w:start w:val="1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746492"/>
    <w:multiLevelType w:val="hybridMultilevel"/>
    <w:tmpl w:val="E842AA5A"/>
    <w:lvl w:ilvl="0" w:tplc="78E2E0DA">
      <w:start w:val="2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53102"/>
    <w:multiLevelType w:val="hybridMultilevel"/>
    <w:tmpl w:val="B97C38FA"/>
    <w:lvl w:ilvl="0" w:tplc="1C6E05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93AE4"/>
    <w:multiLevelType w:val="hybridMultilevel"/>
    <w:tmpl w:val="9E3832A2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C6AC7"/>
    <w:multiLevelType w:val="multilevel"/>
    <w:tmpl w:val="F78C65CE"/>
    <w:lvl w:ilvl="0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32699"/>
    <w:multiLevelType w:val="multilevel"/>
    <w:tmpl w:val="D78CC616"/>
    <w:lvl w:ilvl="0">
      <w:start w:val="1"/>
      <w:numFmt w:val="decimal"/>
      <w:lvlText w:val="%1."/>
      <w:lvlJc w:val="left"/>
      <w:pPr>
        <w:ind w:left="750" w:hanging="390"/>
      </w:pPr>
      <w:rPr>
        <w:rFonts w:ascii="Arial" w:eastAsiaTheme="minorHAnsi" w:hAnsi="Arial" w:cs="Arial"/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549D9"/>
    <w:multiLevelType w:val="hybridMultilevel"/>
    <w:tmpl w:val="DB8284B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35B8"/>
    <w:multiLevelType w:val="hybridMultilevel"/>
    <w:tmpl w:val="DB8284B0"/>
    <w:lvl w:ilvl="0" w:tplc="1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EC0E92"/>
    <w:multiLevelType w:val="hybridMultilevel"/>
    <w:tmpl w:val="C9FA3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6242F"/>
    <w:multiLevelType w:val="hybridMultilevel"/>
    <w:tmpl w:val="A7A84926"/>
    <w:lvl w:ilvl="0" w:tplc="F81E24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90010"/>
    <w:multiLevelType w:val="hybridMultilevel"/>
    <w:tmpl w:val="2B607D74"/>
    <w:lvl w:ilvl="0" w:tplc="2C7AAE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75A03"/>
    <w:multiLevelType w:val="hybridMultilevel"/>
    <w:tmpl w:val="2048DA1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B694A"/>
    <w:multiLevelType w:val="hybridMultilevel"/>
    <w:tmpl w:val="FE40A7B0"/>
    <w:lvl w:ilvl="0" w:tplc="6C36E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15"/>
  </w:num>
  <w:num w:numId="12">
    <w:abstractNumId w:val="14"/>
  </w:num>
  <w:num w:numId="13">
    <w:abstractNumId w:val="17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C5"/>
    <w:rsid w:val="00004CA4"/>
    <w:rsid w:val="00007FD2"/>
    <w:rsid w:val="00020B07"/>
    <w:rsid w:val="00022BD7"/>
    <w:rsid w:val="00031B16"/>
    <w:rsid w:val="0004702E"/>
    <w:rsid w:val="000613EF"/>
    <w:rsid w:val="00061A52"/>
    <w:rsid w:val="00062D36"/>
    <w:rsid w:val="00065DF6"/>
    <w:rsid w:val="00072E1D"/>
    <w:rsid w:val="00080493"/>
    <w:rsid w:val="0008281D"/>
    <w:rsid w:val="00085FD5"/>
    <w:rsid w:val="000911B9"/>
    <w:rsid w:val="000B5E50"/>
    <w:rsid w:val="000D0785"/>
    <w:rsid w:val="000D4B75"/>
    <w:rsid w:val="000E3385"/>
    <w:rsid w:val="000E6A9C"/>
    <w:rsid w:val="00101012"/>
    <w:rsid w:val="001145BF"/>
    <w:rsid w:val="00116695"/>
    <w:rsid w:val="0012104F"/>
    <w:rsid w:val="00122180"/>
    <w:rsid w:val="00151E89"/>
    <w:rsid w:val="0016530A"/>
    <w:rsid w:val="00177604"/>
    <w:rsid w:val="001B2247"/>
    <w:rsid w:val="001B4C69"/>
    <w:rsid w:val="001D7B4F"/>
    <w:rsid w:val="001F29FC"/>
    <w:rsid w:val="001F795C"/>
    <w:rsid w:val="00200284"/>
    <w:rsid w:val="00202530"/>
    <w:rsid w:val="00210A07"/>
    <w:rsid w:val="00234FB9"/>
    <w:rsid w:val="00251586"/>
    <w:rsid w:val="00254DAB"/>
    <w:rsid w:val="002A652B"/>
    <w:rsid w:val="002E0970"/>
    <w:rsid w:val="002E1679"/>
    <w:rsid w:val="002E2633"/>
    <w:rsid w:val="00306FA9"/>
    <w:rsid w:val="00314CBF"/>
    <w:rsid w:val="003278EC"/>
    <w:rsid w:val="003418BE"/>
    <w:rsid w:val="00356607"/>
    <w:rsid w:val="00356914"/>
    <w:rsid w:val="0036264F"/>
    <w:rsid w:val="00376BAC"/>
    <w:rsid w:val="003811B6"/>
    <w:rsid w:val="003831AD"/>
    <w:rsid w:val="0039315E"/>
    <w:rsid w:val="003A60F5"/>
    <w:rsid w:val="003D5F2E"/>
    <w:rsid w:val="003E35CD"/>
    <w:rsid w:val="00400674"/>
    <w:rsid w:val="004023BC"/>
    <w:rsid w:val="004342BF"/>
    <w:rsid w:val="0045343C"/>
    <w:rsid w:val="00455383"/>
    <w:rsid w:val="00467B9F"/>
    <w:rsid w:val="0047051F"/>
    <w:rsid w:val="004732FF"/>
    <w:rsid w:val="00477903"/>
    <w:rsid w:val="00483438"/>
    <w:rsid w:val="00492075"/>
    <w:rsid w:val="004A631A"/>
    <w:rsid w:val="004C7C21"/>
    <w:rsid w:val="004E1FC5"/>
    <w:rsid w:val="004F5A47"/>
    <w:rsid w:val="004F5D6C"/>
    <w:rsid w:val="004F6158"/>
    <w:rsid w:val="00503064"/>
    <w:rsid w:val="00521EB3"/>
    <w:rsid w:val="00547FE7"/>
    <w:rsid w:val="005617A4"/>
    <w:rsid w:val="005C12BD"/>
    <w:rsid w:val="005C4BA4"/>
    <w:rsid w:val="005D7088"/>
    <w:rsid w:val="005F3B21"/>
    <w:rsid w:val="00616383"/>
    <w:rsid w:val="0062559A"/>
    <w:rsid w:val="00636DF7"/>
    <w:rsid w:val="00651ED0"/>
    <w:rsid w:val="00654521"/>
    <w:rsid w:val="006579A8"/>
    <w:rsid w:val="00664BE8"/>
    <w:rsid w:val="0067553A"/>
    <w:rsid w:val="00691A32"/>
    <w:rsid w:val="006A31B4"/>
    <w:rsid w:val="006B2A00"/>
    <w:rsid w:val="006B3061"/>
    <w:rsid w:val="006B439A"/>
    <w:rsid w:val="006B6ED3"/>
    <w:rsid w:val="006C5991"/>
    <w:rsid w:val="006C5BD0"/>
    <w:rsid w:val="006D1189"/>
    <w:rsid w:val="006D584F"/>
    <w:rsid w:val="006F76E7"/>
    <w:rsid w:val="007408A5"/>
    <w:rsid w:val="00754BF4"/>
    <w:rsid w:val="00763CA1"/>
    <w:rsid w:val="00767455"/>
    <w:rsid w:val="0078443E"/>
    <w:rsid w:val="007961E5"/>
    <w:rsid w:val="007A0949"/>
    <w:rsid w:val="007A5174"/>
    <w:rsid w:val="007C7E5E"/>
    <w:rsid w:val="007E2720"/>
    <w:rsid w:val="00813EAC"/>
    <w:rsid w:val="0082484E"/>
    <w:rsid w:val="00850629"/>
    <w:rsid w:val="008507FB"/>
    <w:rsid w:val="00852BF0"/>
    <w:rsid w:val="00871655"/>
    <w:rsid w:val="00887BE5"/>
    <w:rsid w:val="00892752"/>
    <w:rsid w:val="008A63FC"/>
    <w:rsid w:val="008A764D"/>
    <w:rsid w:val="008A7B17"/>
    <w:rsid w:val="008C1D4A"/>
    <w:rsid w:val="008D4414"/>
    <w:rsid w:val="008E1AB9"/>
    <w:rsid w:val="00912D8C"/>
    <w:rsid w:val="00924093"/>
    <w:rsid w:val="0094409F"/>
    <w:rsid w:val="0094613C"/>
    <w:rsid w:val="009719BD"/>
    <w:rsid w:val="00987485"/>
    <w:rsid w:val="00991A7B"/>
    <w:rsid w:val="009A2A3A"/>
    <w:rsid w:val="009D59C3"/>
    <w:rsid w:val="009F6FE6"/>
    <w:rsid w:val="00A21E1F"/>
    <w:rsid w:val="00A37BAF"/>
    <w:rsid w:val="00A50F76"/>
    <w:rsid w:val="00A66A2B"/>
    <w:rsid w:val="00A804F1"/>
    <w:rsid w:val="00A855BB"/>
    <w:rsid w:val="00A86032"/>
    <w:rsid w:val="00AB3084"/>
    <w:rsid w:val="00AB44A7"/>
    <w:rsid w:val="00AC4B2F"/>
    <w:rsid w:val="00B0565A"/>
    <w:rsid w:val="00B05821"/>
    <w:rsid w:val="00B4232F"/>
    <w:rsid w:val="00B44694"/>
    <w:rsid w:val="00B46304"/>
    <w:rsid w:val="00B513E6"/>
    <w:rsid w:val="00B6737C"/>
    <w:rsid w:val="00B74AC0"/>
    <w:rsid w:val="00B8011C"/>
    <w:rsid w:val="00B87EBB"/>
    <w:rsid w:val="00BA185A"/>
    <w:rsid w:val="00BB02FD"/>
    <w:rsid w:val="00BC0D8E"/>
    <w:rsid w:val="00BC12B1"/>
    <w:rsid w:val="00BD21E8"/>
    <w:rsid w:val="00BE1D25"/>
    <w:rsid w:val="00BE5A11"/>
    <w:rsid w:val="00C049A6"/>
    <w:rsid w:val="00C1030F"/>
    <w:rsid w:val="00C13C19"/>
    <w:rsid w:val="00C22F74"/>
    <w:rsid w:val="00C32C68"/>
    <w:rsid w:val="00C82002"/>
    <w:rsid w:val="00C91556"/>
    <w:rsid w:val="00CA0476"/>
    <w:rsid w:val="00CA4EA5"/>
    <w:rsid w:val="00CB2CD2"/>
    <w:rsid w:val="00CC07EA"/>
    <w:rsid w:val="00CD2CBE"/>
    <w:rsid w:val="00CD3FB9"/>
    <w:rsid w:val="00D007CD"/>
    <w:rsid w:val="00D028D4"/>
    <w:rsid w:val="00D04066"/>
    <w:rsid w:val="00D1414E"/>
    <w:rsid w:val="00D147CF"/>
    <w:rsid w:val="00D2020C"/>
    <w:rsid w:val="00D27064"/>
    <w:rsid w:val="00D33B32"/>
    <w:rsid w:val="00D37332"/>
    <w:rsid w:val="00D46B85"/>
    <w:rsid w:val="00D55641"/>
    <w:rsid w:val="00D562F3"/>
    <w:rsid w:val="00D6510A"/>
    <w:rsid w:val="00D65576"/>
    <w:rsid w:val="00D95C09"/>
    <w:rsid w:val="00D971FB"/>
    <w:rsid w:val="00DB397E"/>
    <w:rsid w:val="00DD0F3B"/>
    <w:rsid w:val="00DD791E"/>
    <w:rsid w:val="00DF05B4"/>
    <w:rsid w:val="00DF0B0E"/>
    <w:rsid w:val="00E56A7B"/>
    <w:rsid w:val="00E60746"/>
    <w:rsid w:val="00E626D3"/>
    <w:rsid w:val="00E721C0"/>
    <w:rsid w:val="00E85B1C"/>
    <w:rsid w:val="00E92E9F"/>
    <w:rsid w:val="00E96336"/>
    <w:rsid w:val="00EB46A1"/>
    <w:rsid w:val="00EB78B8"/>
    <w:rsid w:val="00ED14C9"/>
    <w:rsid w:val="00F2095B"/>
    <w:rsid w:val="00F21E0D"/>
    <w:rsid w:val="00F238AF"/>
    <w:rsid w:val="00F60F7C"/>
    <w:rsid w:val="00F70E3A"/>
    <w:rsid w:val="00F76B36"/>
    <w:rsid w:val="00F87F25"/>
    <w:rsid w:val="00F93698"/>
    <w:rsid w:val="00F94783"/>
    <w:rsid w:val="00FA729F"/>
    <w:rsid w:val="00FB5BC6"/>
    <w:rsid w:val="00FD40A5"/>
    <w:rsid w:val="00FD7B70"/>
    <w:rsid w:val="00FE0441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FF95-2867-4927-9BC8-DB43751F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F21E0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EA"/>
    <w:rPr>
      <w:rFonts w:ascii="Segoe UI" w:hAnsi="Segoe UI" w:cs="Segoe UI"/>
      <w:noProof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1F29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21E0D"/>
    <w:rPr>
      <w:rFonts w:ascii="Arial" w:eastAsia="Times New Roman" w:hAnsi="Arial" w:cs="Times New Roman"/>
      <w:b/>
      <w:noProof/>
      <w:sz w:val="24"/>
      <w:szCs w:val="20"/>
      <w:lang w:val="hr-HR"/>
    </w:rPr>
  </w:style>
  <w:style w:type="paragraph" w:styleId="NoSpacing">
    <w:name w:val="No Spacing"/>
    <w:link w:val="NoSpacingChar"/>
    <w:uiPriority w:val="1"/>
    <w:qFormat/>
    <w:rsid w:val="00F21E0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21E0D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5C"/>
    <w:rPr>
      <w:noProof/>
      <w:lang w:val="en-GB"/>
    </w:rPr>
  </w:style>
  <w:style w:type="paragraph" w:styleId="Footer">
    <w:name w:val="footer"/>
    <w:basedOn w:val="Normal"/>
    <w:link w:val="FooterChar"/>
    <w:unhideWhenUsed/>
    <w:rsid w:val="001F7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795C"/>
    <w:rPr>
      <w:noProof/>
      <w:lang w:val="en-GB"/>
    </w:rPr>
  </w:style>
  <w:style w:type="paragraph" w:customStyle="1" w:styleId="t-9-8">
    <w:name w:val="t-9-8"/>
    <w:basedOn w:val="Normal"/>
    <w:rsid w:val="00D2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9A2A3A"/>
    <w:pPr>
      <w:spacing w:after="0" w:line="240" w:lineRule="auto"/>
      <w:jc w:val="both"/>
    </w:pPr>
    <w:rPr>
      <w:rFonts w:ascii="Arial" w:eastAsia="Times New Roman" w:hAnsi="Arial" w:cs="Times New Roman"/>
      <w:noProof w:val="0"/>
      <w:lang w:val="hr-HR"/>
    </w:rPr>
  </w:style>
  <w:style w:type="character" w:customStyle="1" w:styleId="BodyText2Char">
    <w:name w:val="Body Text 2 Char"/>
    <w:basedOn w:val="DefaultParagraphFont"/>
    <w:link w:val="BodyText2"/>
    <w:rsid w:val="009A2A3A"/>
    <w:rPr>
      <w:rFonts w:ascii="Arial" w:eastAsia="Times New Roman" w:hAnsi="Arial" w:cs="Times New Roman"/>
      <w:lang w:val="hr-HR"/>
    </w:rPr>
  </w:style>
  <w:style w:type="paragraph" w:styleId="Title">
    <w:name w:val="Title"/>
    <w:basedOn w:val="Normal"/>
    <w:link w:val="TitleChar"/>
    <w:qFormat/>
    <w:rsid w:val="009A2A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noProof w:val="0"/>
      <w:sz w:val="24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9A2A3A"/>
    <w:rPr>
      <w:rFonts w:ascii="Bookman Old Style" w:eastAsia="Times New Roman" w:hAnsi="Bookman Old Style" w:cs="Times New Roman"/>
      <w:b/>
      <w:sz w:val="24"/>
      <w:szCs w:val="20"/>
      <w:lang w:val="hr-HR"/>
    </w:rPr>
  </w:style>
  <w:style w:type="paragraph" w:customStyle="1" w:styleId="Default">
    <w:name w:val="Default"/>
    <w:rsid w:val="009A2A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C22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oit.gov.ba/bs/okolisne-dozvole/javne-rasprave-i-javni-uvidi/javni-uvid-u-zahtjev-za-izdavanje-okolisne-dozvole-privrednom-subjektu-privrednom-drustvu-interpromet-d-o-o-vite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oits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E809-6CD1-42B6-B584-2EF43402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</dc:creator>
  <cp:keywords/>
  <dc:description/>
  <cp:lastModifiedBy>Mirjana</cp:lastModifiedBy>
  <cp:revision>2</cp:revision>
  <cp:lastPrinted>2021-07-02T14:10:00Z</cp:lastPrinted>
  <dcterms:created xsi:type="dcterms:W3CDTF">2021-12-13T11:30:00Z</dcterms:created>
  <dcterms:modified xsi:type="dcterms:W3CDTF">2021-12-13T11:30:00Z</dcterms:modified>
</cp:coreProperties>
</file>