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FBD" w:rsidRDefault="007D2FBD" w:rsidP="007D2FBD">
      <w:pPr>
        <w:rPr>
          <w:rFonts w:ascii="Times New Roman" w:hAnsi="Times New Roman" w:cs="Times New Roman"/>
          <w:sz w:val="24"/>
          <w:szCs w:val="24"/>
        </w:rPr>
      </w:pPr>
      <w:r>
        <w:rPr>
          <w:rFonts w:ascii="Times New Roman" w:eastAsia="Arial" w:hAnsi="Times New Roman" w:cs="Times New Roman"/>
          <w:b/>
          <w:bCs/>
          <w:sz w:val="24"/>
          <w:szCs w:val="24"/>
        </w:rPr>
        <w:t>NETEHNIČKI REZIME</w:t>
      </w:r>
    </w:p>
    <w:p w:rsidR="007D2FBD" w:rsidRDefault="007D2FBD" w:rsidP="007D2FBD">
      <w:pPr>
        <w:spacing w:line="273" w:lineRule="auto"/>
        <w:jc w:val="both"/>
        <w:rPr>
          <w:rFonts w:ascii="Times New Roman" w:hAnsi="Times New Roman" w:cs="Times New Roman"/>
          <w:sz w:val="24"/>
          <w:szCs w:val="24"/>
        </w:rPr>
      </w:pPr>
      <w:r>
        <w:rPr>
          <w:rFonts w:ascii="Times New Roman" w:eastAsia="Arial" w:hAnsi="Times New Roman" w:cs="Times New Roman"/>
          <w:color w:val="0D0D0D"/>
          <w:sz w:val="24"/>
          <w:szCs w:val="24"/>
        </w:rPr>
        <w:t>Zahtjev za izdavanje okolinske dozvole urađen je na osnovu odredbe člana 54a Zakona o zaštiti okoliša Sl. novine FBiH 33/03 i 38/09 u svrhu izdavanja okolinske dozvole za objekat kotlovnice u okviru tehničko-ekonomskog bloka - TEB Kliničkog centar Univerziteta u Sarajevu, instalisane snage 46,5 MW, na lokaciji Bolnička 25, u Sarajevu. Cilj izrade Zahtjeva je da se uz pregled lokacije, tehničke dokumentacije investitora, analize tehnološkog procesa i sagledanog postojećeg stanja okoliša na lokaciji uz korištenje zakonskih propisa i standarda analizira uticaj planiranog procesa rada uzimajući pri tome u obzir sve elemente kao i uslove življenja i poboljšanja uslova radnog i životnog okoliša.</w:t>
      </w:r>
    </w:p>
    <w:p w:rsidR="007D2FBD" w:rsidRDefault="007D2FBD" w:rsidP="007D2FBD">
      <w:pPr>
        <w:spacing w:line="103" w:lineRule="exact"/>
        <w:rPr>
          <w:rFonts w:ascii="Times New Roman" w:hAnsi="Times New Roman" w:cs="Times New Roman"/>
          <w:sz w:val="24"/>
          <w:szCs w:val="24"/>
        </w:rPr>
      </w:pPr>
    </w:p>
    <w:p w:rsidR="007D2FBD" w:rsidRDefault="007D2FBD" w:rsidP="007D2FBD">
      <w:pPr>
        <w:spacing w:line="273" w:lineRule="auto"/>
        <w:jc w:val="both"/>
        <w:rPr>
          <w:rFonts w:ascii="Times New Roman" w:hAnsi="Times New Roman" w:cs="Times New Roman"/>
          <w:sz w:val="24"/>
          <w:szCs w:val="24"/>
        </w:rPr>
      </w:pPr>
      <w:r>
        <w:rPr>
          <w:rFonts w:ascii="Times New Roman" w:eastAsia="Arial" w:hAnsi="Times New Roman" w:cs="Times New Roman"/>
          <w:color w:val="0D0D0D"/>
          <w:sz w:val="24"/>
          <w:szCs w:val="24"/>
        </w:rPr>
        <w:t>Klinički centar Univerziteta u Sarajevu nalazi se u ulici Bolnička 25, u Sarajevu. Predstavlja vodeću stručnu, edukativnu, nastavnu i naučno-istraživačku zdravstvenu ustanovu u Bosni i Hercegovini. Kotlovnica koja se koristi za toplinske i tehnološke potrebe kompletnog bolničkog kompleksa, instalisane snage 46,5 MW smješteno je na zemljištu označenim kao k.č. 34/3, K.O. Sarajevo IV,Općina Centar Sarajevo.</w:t>
      </w:r>
    </w:p>
    <w:p w:rsidR="007D2FBD" w:rsidRDefault="007D2FBD" w:rsidP="007D2FBD">
      <w:pPr>
        <w:spacing w:line="91" w:lineRule="exact"/>
        <w:rPr>
          <w:rFonts w:ascii="Times New Roman" w:hAnsi="Times New Roman" w:cs="Times New Roman"/>
          <w:sz w:val="24"/>
          <w:szCs w:val="24"/>
        </w:rPr>
      </w:pPr>
    </w:p>
    <w:p w:rsidR="007D2FBD" w:rsidRDefault="007D2FBD" w:rsidP="007D2FBD">
      <w:pPr>
        <w:spacing w:line="273" w:lineRule="auto"/>
        <w:ind w:right="20"/>
        <w:jc w:val="both"/>
        <w:rPr>
          <w:rFonts w:ascii="Times New Roman" w:hAnsi="Times New Roman" w:cs="Times New Roman"/>
          <w:sz w:val="24"/>
          <w:szCs w:val="24"/>
        </w:rPr>
      </w:pPr>
      <w:r>
        <w:rPr>
          <w:rFonts w:ascii="Times New Roman" w:eastAsia="Arial" w:hAnsi="Times New Roman" w:cs="Times New Roman"/>
          <w:color w:val="0D0D0D"/>
          <w:sz w:val="24"/>
          <w:szCs w:val="24"/>
        </w:rPr>
        <w:t>Kotlovsko postrojenje u okviru tehničko-ekonomskog bloka (TEB) spada u kategoriju parnovrelovodnih postrojenja. Rad u kotlovnici je velikim dijelom automatizovan uz redovni nadzor stručno osposobljenih lica. Kotlovskim postrojenjem u ovom objektu podrazumijeva se prostor za smještaj kotlovskih jedinica, gorionika, sistema redukcije pritiska gasa sa mjerenjem, gasne rampe, dimovodni kanali, napojni rezervoar sa ekspanderom, postrojenje hemijske pripreme vode, ekspander kondenzata, kondenzno postrojenje, postrojenje za pripremu tople sanitarne vode, postrojenje za ekspanziju kompletnog sistema, postrojenje za obradu sirove vode, redukcione stanice suho zasićene vodene pare, elementi automatske regulacije, cirkulacione pumpe, sigurnosna, zaporno-regulaciona armatura, razdjeljivači i spojni cjevovodi.</w:t>
      </w:r>
    </w:p>
    <w:p w:rsidR="007D2FBD" w:rsidRDefault="007D2FBD" w:rsidP="007D2FBD">
      <w:pPr>
        <w:spacing w:line="268" w:lineRule="auto"/>
        <w:ind w:right="20"/>
        <w:jc w:val="both"/>
        <w:rPr>
          <w:rFonts w:ascii="Times New Roman" w:hAnsi="Times New Roman" w:cs="Times New Roman"/>
          <w:sz w:val="24"/>
          <w:szCs w:val="24"/>
        </w:rPr>
      </w:pPr>
      <w:r>
        <w:rPr>
          <w:rFonts w:ascii="Times New Roman" w:eastAsia="Arial" w:hAnsi="Times New Roman" w:cs="Times New Roman"/>
          <w:color w:val="0D0D0D"/>
          <w:sz w:val="24"/>
          <w:szCs w:val="24"/>
        </w:rPr>
        <w:t>Kotlovsko postrojenje koje se nalazi u sklopu Kliničkog centra Univerziteta u Sarajevu obezbjeđuje potrebnu količinu vrele vode (140/75° C) i tehničke pare za potrebe kompletnog bolničkog kompleksa i samostalne potrebe kotlovnice.</w:t>
      </w:r>
    </w:p>
    <w:p w:rsidR="007D2FBD" w:rsidRDefault="007D2FBD" w:rsidP="007D2FBD">
      <w:pPr>
        <w:spacing w:line="21" w:lineRule="exact"/>
        <w:rPr>
          <w:rFonts w:ascii="Times New Roman" w:hAnsi="Times New Roman" w:cs="Times New Roman"/>
          <w:sz w:val="24"/>
          <w:szCs w:val="24"/>
        </w:rPr>
      </w:pPr>
    </w:p>
    <w:p w:rsidR="007D2FBD" w:rsidRDefault="007D2FBD" w:rsidP="007D2FBD">
      <w:pPr>
        <w:spacing w:line="268" w:lineRule="auto"/>
        <w:jc w:val="both"/>
        <w:rPr>
          <w:rFonts w:ascii="Times New Roman" w:hAnsi="Times New Roman" w:cs="Times New Roman"/>
          <w:sz w:val="24"/>
          <w:szCs w:val="24"/>
        </w:rPr>
      </w:pPr>
      <w:r>
        <w:rPr>
          <w:rFonts w:ascii="Times New Roman" w:eastAsia="Arial" w:hAnsi="Times New Roman" w:cs="Times New Roman"/>
          <w:sz w:val="24"/>
          <w:szCs w:val="24"/>
        </w:rPr>
        <w:t>Osnavna sirovina koja se koristi u kotlovnici je prirodni gas (plin). Prirodni gas koristi se kao osnovno pogonsko gorivo. Snadbijevanje prirodnim gasom obezbijeđeno je iz gradskog gasovoda.</w:t>
      </w:r>
    </w:p>
    <w:p w:rsidR="007D2FBD" w:rsidRDefault="007D2FBD" w:rsidP="007D2FBD">
      <w:pPr>
        <w:spacing w:line="8" w:lineRule="exact"/>
        <w:rPr>
          <w:rFonts w:ascii="Times New Roman" w:hAnsi="Times New Roman" w:cs="Times New Roman"/>
          <w:sz w:val="24"/>
          <w:szCs w:val="24"/>
        </w:rPr>
      </w:pPr>
    </w:p>
    <w:p w:rsidR="007D2FBD" w:rsidRDefault="007D2FBD" w:rsidP="007D2FBD">
      <w:pPr>
        <w:rPr>
          <w:rFonts w:ascii="Times New Roman" w:hAnsi="Times New Roman" w:cs="Times New Roman"/>
          <w:sz w:val="24"/>
          <w:szCs w:val="24"/>
        </w:rPr>
      </w:pPr>
      <w:r>
        <w:rPr>
          <w:rFonts w:ascii="Times New Roman" w:eastAsia="Arial" w:hAnsi="Times New Roman" w:cs="Times New Roman"/>
          <w:sz w:val="24"/>
          <w:szCs w:val="24"/>
        </w:rPr>
        <w:t>Od ostalih supstanci koje se koriste u postrojenju kotlovnice su:</w:t>
      </w:r>
    </w:p>
    <w:p w:rsidR="007D2FBD" w:rsidRDefault="007D2FBD" w:rsidP="007D2FBD">
      <w:pPr>
        <w:spacing w:line="52" w:lineRule="exact"/>
        <w:rPr>
          <w:rFonts w:ascii="Times New Roman" w:hAnsi="Times New Roman" w:cs="Times New Roman"/>
          <w:sz w:val="24"/>
          <w:szCs w:val="24"/>
        </w:rPr>
      </w:pPr>
    </w:p>
    <w:p w:rsidR="007D2FBD" w:rsidRDefault="007D2FBD" w:rsidP="007D2FBD">
      <w:pPr>
        <w:numPr>
          <w:ilvl w:val="0"/>
          <w:numId w:val="1"/>
        </w:numPr>
        <w:tabs>
          <w:tab w:val="left" w:pos="780"/>
        </w:tabs>
        <w:spacing w:after="0" w:line="264" w:lineRule="auto"/>
        <w:ind w:left="780" w:right="20" w:hanging="356"/>
        <w:rPr>
          <w:rFonts w:ascii="Times New Roman" w:eastAsia="Arial" w:hAnsi="Times New Roman" w:cs="Times New Roman"/>
          <w:sz w:val="24"/>
          <w:szCs w:val="24"/>
        </w:rPr>
      </w:pPr>
      <w:r>
        <w:rPr>
          <w:rFonts w:ascii="Times New Roman" w:eastAsia="Arial" w:hAnsi="Times New Roman" w:cs="Times New Roman"/>
          <w:sz w:val="24"/>
          <w:szCs w:val="24"/>
        </w:rPr>
        <w:t>Ekstra lako loživo-ulje, koje se koristi kao alternativno pogonsko gorivo u slučaju prekida isporuke prirodnog gasa ili radova na unutrašnjim gasnim instalacijama;</w:t>
      </w:r>
    </w:p>
    <w:p w:rsidR="007D2FBD" w:rsidRDefault="007D2FBD" w:rsidP="007D2FBD">
      <w:pPr>
        <w:spacing w:line="11" w:lineRule="exact"/>
        <w:rPr>
          <w:rFonts w:ascii="Times New Roman" w:eastAsia="Arial" w:hAnsi="Times New Roman" w:cs="Times New Roman"/>
          <w:sz w:val="24"/>
          <w:szCs w:val="24"/>
        </w:rPr>
      </w:pPr>
    </w:p>
    <w:p w:rsidR="007D2FBD" w:rsidRDefault="007D2FBD" w:rsidP="007D2FBD">
      <w:pPr>
        <w:numPr>
          <w:ilvl w:val="0"/>
          <w:numId w:val="1"/>
        </w:numPr>
        <w:tabs>
          <w:tab w:val="left" w:pos="780"/>
        </w:tabs>
        <w:spacing w:after="0" w:line="240" w:lineRule="auto"/>
        <w:ind w:left="780" w:hanging="356"/>
        <w:rPr>
          <w:rFonts w:ascii="Times New Roman" w:eastAsia="Arial" w:hAnsi="Times New Roman" w:cs="Times New Roman"/>
          <w:sz w:val="24"/>
          <w:szCs w:val="24"/>
        </w:rPr>
      </w:pPr>
      <w:r>
        <w:rPr>
          <w:rFonts w:ascii="Times New Roman" w:eastAsia="Arial" w:hAnsi="Times New Roman" w:cs="Times New Roman"/>
          <w:sz w:val="24"/>
          <w:szCs w:val="24"/>
        </w:rPr>
        <w:t>Tabletirana so (NaCl) za potrebe regeneracije automatskih jonskih izmjenjivača;</w:t>
      </w:r>
    </w:p>
    <w:p w:rsidR="007D2FBD" w:rsidRDefault="007D2FBD" w:rsidP="007D2FBD">
      <w:pPr>
        <w:spacing w:line="40" w:lineRule="exact"/>
        <w:rPr>
          <w:rFonts w:ascii="Times New Roman" w:eastAsia="Arial" w:hAnsi="Times New Roman" w:cs="Times New Roman"/>
          <w:sz w:val="24"/>
          <w:szCs w:val="24"/>
        </w:rPr>
      </w:pPr>
    </w:p>
    <w:p w:rsidR="007D2FBD" w:rsidRDefault="007D2FBD" w:rsidP="007D2FBD">
      <w:pPr>
        <w:numPr>
          <w:ilvl w:val="0"/>
          <w:numId w:val="1"/>
        </w:numPr>
        <w:tabs>
          <w:tab w:val="left" w:pos="780"/>
        </w:tabs>
        <w:spacing w:after="0" w:line="240" w:lineRule="auto"/>
        <w:ind w:left="780" w:hanging="356"/>
        <w:rPr>
          <w:rFonts w:ascii="Times New Roman" w:eastAsia="Arial" w:hAnsi="Times New Roman" w:cs="Times New Roman"/>
          <w:sz w:val="24"/>
          <w:szCs w:val="24"/>
        </w:rPr>
      </w:pPr>
      <w:r>
        <w:rPr>
          <w:rFonts w:ascii="Times New Roman" w:eastAsia="Arial" w:hAnsi="Times New Roman" w:cs="Times New Roman"/>
          <w:sz w:val="24"/>
          <w:szCs w:val="24"/>
        </w:rPr>
        <w:t>Sitna industrijska so (NaCl) za potrebe hemijske pripreme kotlovskih i napojnih</w:t>
      </w:r>
    </w:p>
    <w:p w:rsidR="007D2FBD" w:rsidRDefault="007D2FBD" w:rsidP="007D2FBD">
      <w:pPr>
        <w:spacing w:line="46" w:lineRule="exact"/>
        <w:rPr>
          <w:rFonts w:ascii="Times New Roman" w:hAnsi="Times New Roman" w:cs="Times New Roman"/>
          <w:sz w:val="24"/>
          <w:szCs w:val="24"/>
        </w:rPr>
      </w:pPr>
    </w:p>
    <w:p w:rsidR="007D2FBD" w:rsidRDefault="007D2FBD" w:rsidP="007D2FBD">
      <w:pPr>
        <w:ind w:left="780"/>
        <w:rPr>
          <w:rFonts w:ascii="Times New Roman" w:hAnsi="Times New Roman" w:cs="Times New Roman"/>
          <w:sz w:val="24"/>
          <w:szCs w:val="24"/>
        </w:rPr>
      </w:pPr>
      <w:r>
        <w:rPr>
          <w:rFonts w:ascii="Times New Roman" w:eastAsia="Arial" w:hAnsi="Times New Roman" w:cs="Times New Roman"/>
          <w:sz w:val="24"/>
          <w:szCs w:val="24"/>
        </w:rPr>
        <w:t>voda.</w:t>
      </w:r>
    </w:p>
    <w:p w:rsidR="007D2FBD" w:rsidRDefault="007D2FBD" w:rsidP="007D2FBD">
      <w:pPr>
        <w:spacing w:line="271" w:lineRule="auto"/>
        <w:jc w:val="both"/>
        <w:rPr>
          <w:rFonts w:ascii="Times New Roman" w:hAnsi="Times New Roman" w:cs="Times New Roman"/>
          <w:sz w:val="24"/>
          <w:szCs w:val="24"/>
        </w:rPr>
      </w:pPr>
      <w:r>
        <w:rPr>
          <w:rFonts w:ascii="Times New Roman" w:eastAsia="Arial" w:hAnsi="Times New Roman" w:cs="Times New Roman"/>
          <w:color w:val="0D0D0D"/>
          <w:sz w:val="24"/>
          <w:szCs w:val="24"/>
        </w:rPr>
        <w:lastRenderedPageBreak/>
        <w:t>Snadbijevanje kotlovnice vodom vrši se iz gradske vodovodne mreže kojom upravlja KJKP „Vododvod i Kanalizacija“ d.o.o. Sarajevo. Objekati KCUS priključeni su na elektoenergetski sistem JP Elektroprivreda BiH. Kotlovnica posjeduje 5 kotlovskih postrojenja za sagorijevanje koja se koriste za toplinske i tehnološke potrebe kompletnog bolničkog kompleksa.</w:t>
      </w:r>
    </w:p>
    <w:p w:rsidR="007D2FBD" w:rsidRDefault="007D2FBD" w:rsidP="007D2FBD">
      <w:pPr>
        <w:tabs>
          <w:tab w:val="left" w:pos="910"/>
        </w:tabs>
        <w:rPr>
          <w:rFonts w:ascii="Times New Roman" w:hAnsi="Times New Roman" w:cs="Times New Roman"/>
          <w:sz w:val="24"/>
          <w:szCs w:val="24"/>
        </w:rPr>
      </w:pPr>
      <w:r>
        <w:rPr>
          <w:rFonts w:ascii="Times New Roman" w:eastAsia="Arial" w:hAnsi="Times New Roman" w:cs="Times New Roman"/>
          <w:color w:val="0D0D0D"/>
          <w:sz w:val="24"/>
          <w:szCs w:val="24"/>
        </w:rPr>
        <w:t>Procesom odmuljivanja kotlova nastaju tehnološke otpadne vode. Tehnološke otpadne vode koje nastaju na lokaciji predmetnog kompleksa se prikupljaju putem kanalizacione mreže, zatim uz predtretman rashlađivanja i razblaživanja, priključuju na gradsku kanalizacionu mrežu putem osam priključaka, prema saglasnosti od strane operatera kanalizacionim sistemom KJKP „Vodovod i kanalizacija“. Oborinske otpadne vode sa krovnih površina kao i oborinske otpadne vode sa saobraćajnica i manipulativnih površina u krugu KCUS, se smatraju nezagađenim oborinskim otpadnim vodama i bez prečišćavanja se ispuštaju u gradsku kanalizaciju.</w:t>
      </w:r>
    </w:p>
    <w:p w:rsidR="007D2FBD" w:rsidRDefault="007D2FBD" w:rsidP="007D2FBD">
      <w:pPr>
        <w:spacing w:line="336" w:lineRule="exact"/>
        <w:rPr>
          <w:rFonts w:ascii="Times New Roman" w:hAnsi="Times New Roman" w:cs="Times New Roman"/>
          <w:sz w:val="24"/>
          <w:szCs w:val="24"/>
        </w:rPr>
      </w:pPr>
    </w:p>
    <w:p w:rsidR="007D2FBD" w:rsidRDefault="007D2FBD" w:rsidP="007D2FBD">
      <w:pPr>
        <w:spacing w:line="271" w:lineRule="auto"/>
        <w:rPr>
          <w:rFonts w:ascii="Times New Roman" w:hAnsi="Times New Roman" w:cs="Times New Roman"/>
          <w:sz w:val="24"/>
          <w:szCs w:val="24"/>
        </w:rPr>
      </w:pPr>
      <w:r>
        <w:rPr>
          <w:rFonts w:ascii="Times New Roman" w:eastAsia="Arial" w:hAnsi="Times New Roman" w:cs="Times New Roman"/>
          <w:color w:val="0D0D0D"/>
          <w:sz w:val="24"/>
          <w:szCs w:val="24"/>
        </w:rPr>
        <w:t>Kotlovnica Tehničko-ekonomskog bloka KCUS posjeduje 5 kotlovskih postrojenja za sagorijevanje koja se koriste za toplinske i tehnološke potrebe kompletnog bolničkog kompleksa. Kotlovi rade tokom cijele godine. Imaju jedan zajednički dimovodni kanal. Postrojenja su postojeća, ukupnog kapaciteta 45,5 MW.</w:t>
      </w:r>
    </w:p>
    <w:p w:rsidR="007D2FBD" w:rsidRDefault="007D2FBD" w:rsidP="007D2FBD">
      <w:pPr>
        <w:spacing w:line="214" w:lineRule="exact"/>
        <w:rPr>
          <w:rFonts w:ascii="Times New Roman" w:hAnsi="Times New Roman" w:cs="Times New Roman"/>
          <w:sz w:val="24"/>
          <w:szCs w:val="24"/>
        </w:rPr>
      </w:pPr>
    </w:p>
    <w:p w:rsidR="007D2FBD" w:rsidRDefault="007D2FBD" w:rsidP="007D2FBD">
      <w:pPr>
        <w:spacing w:line="268" w:lineRule="auto"/>
        <w:ind w:right="20"/>
        <w:jc w:val="both"/>
        <w:rPr>
          <w:rFonts w:ascii="Times New Roman" w:hAnsi="Times New Roman" w:cs="Times New Roman"/>
          <w:sz w:val="24"/>
          <w:szCs w:val="24"/>
        </w:rPr>
      </w:pPr>
      <w:r>
        <w:rPr>
          <w:rFonts w:ascii="Times New Roman" w:eastAsia="Arial" w:hAnsi="Times New Roman" w:cs="Times New Roman"/>
          <w:color w:val="0D0D0D"/>
          <w:sz w:val="24"/>
          <w:szCs w:val="24"/>
        </w:rPr>
        <w:t>Buka koja nastaje pri radu u kotlovnici je neznatna i ne može značajnije uticati na uvjete radne sredine.</w:t>
      </w:r>
    </w:p>
    <w:p w:rsidR="007D2FBD" w:rsidRDefault="007D2FBD" w:rsidP="007D2FBD">
      <w:pPr>
        <w:spacing w:line="214" w:lineRule="exact"/>
        <w:rPr>
          <w:rFonts w:ascii="Times New Roman" w:hAnsi="Times New Roman" w:cs="Times New Roman"/>
          <w:sz w:val="24"/>
          <w:szCs w:val="24"/>
        </w:rPr>
      </w:pPr>
    </w:p>
    <w:p w:rsidR="007D2FBD" w:rsidRDefault="007D2FBD" w:rsidP="007D2FBD">
      <w:pPr>
        <w:spacing w:line="271" w:lineRule="auto"/>
        <w:ind w:right="20"/>
        <w:jc w:val="both"/>
        <w:rPr>
          <w:sz w:val="20"/>
          <w:szCs w:val="20"/>
        </w:rPr>
      </w:pPr>
      <w:r>
        <w:rPr>
          <w:rFonts w:ascii="Times New Roman" w:eastAsia="Arial" w:hAnsi="Times New Roman" w:cs="Times New Roman"/>
          <w:sz w:val="24"/>
          <w:szCs w:val="24"/>
        </w:rPr>
        <w:t>Prilikom rada postrojenja u kotlovnici ne nastaju značajne količine otpada. Prilikom čišćenja kotlova nastaje otpad od čađi i produkata sagorijevanja. Prilikom normalnog rada postrojenja nastaju male količine komunalnog otpada koji proizvode radnici. Otpad se odlaže u namjenske kontejnere i zbrinjava od strane ovlaštenih firmi</w:t>
      </w:r>
      <w:r>
        <w:rPr>
          <w:rFonts w:ascii="Arial" w:eastAsia="Arial" w:hAnsi="Arial" w:cs="Arial"/>
          <w:sz w:val="24"/>
          <w:szCs w:val="24"/>
        </w:rPr>
        <w:t>.</w:t>
      </w:r>
    </w:p>
    <w:p w:rsidR="00D15074" w:rsidRDefault="00D15074">
      <w:bookmarkStart w:id="0" w:name="_GoBack"/>
      <w:bookmarkEnd w:id="0"/>
    </w:p>
    <w:sectPr w:rsidR="00D15074">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5422"/>
    <w:multiLevelType w:val="hybridMultilevel"/>
    <w:tmpl w:val="8D1864B0"/>
    <w:lvl w:ilvl="0" w:tplc="23EA26BC">
      <w:start w:val="1"/>
      <w:numFmt w:val="bullet"/>
      <w:lvlText w:val="-"/>
      <w:lvlJc w:val="left"/>
      <w:pPr>
        <w:ind w:left="0" w:firstLine="0"/>
      </w:pPr>
    </w:lvl>
    <w:lvl w:ilvl="1" w:tplc="6BE6D758">
      <w:numFmt w:val="decimal"/>
      <w:lvlText w:val=""/>
      <w:lvlJc w:val="left"/>
      <w:pPr>
        <w:ind w:left="0" w:firstLine="0"/>
      </w:pPr>
    </w:lvl>
    <w:lvl w:ilvl="2" w:tplc="07802530">
      <w:numFmt w:val="decimal"/>
      <w:lvlText w:val=""/>
      <w:lvlJc w:val="left"/>
      <w:pPr>
        <w:ind w:left="0" w:firstLine="0"/>
      </w:pPr>
    </w:lvl>
    <w:lvl w:ilvl="3" w:tplc="21E6D980">
      <w:numFmt w:val="decimal"/>
      <w:lvlText w:val=""/>
      <w:lvlJc w:val="left"/>
      <w:pPr>
        <w:ind w:left="0" w:firstLine="0"/>
      </w:pPr>
    </w:lvl>
    <w:lvl w:ilvl="4" w:tplc="A03EFF6E">
      <w:numFmt w:val="decimal"/>
      <w:lvlText w:val=""/>
      <w:lvlJc w:val="left"/>
      <w:pPr>
        <w:ind w:left="0" w:firstLine="0"/>
      </w:pPr>
    </w:lvl>
    <w:lvl w:ilvl="5" w:tplc="ECE4A2BC">
      <w:numFmt w:val="decimal"/>
      <w:lvlText w:val=""/>
      <w:lvlJc w:val="left"/>
      <w:pPr>
        <w:ind w:left="0" w:firstLine="0"/>
      </w:pPr>
    </w:lvl>
    <w:lvl w:ilvl="6" w:tplc="74D0E36C">
      <w:numFmt w:val="decimal"/>
      <w:lvlText w:val=""/>
      <w:lvlJc w:val="left"/>
      <w:pPr>
        <w:ind w:left="0" w:firstLine="0"/>
      </w:pPr>
    </w:lvl>
    <w:lvl w:ilvl="7" w:tplc="566C08BA">
      <w:numFmt w:val="decimal"/>
      <w:lvlText w:val=""/>
      <w:lvlJc w:val="left"/>
      <w:pPr>
        <w:ind w:left="0" w:firstLine="0"/>
      </w:pPr>
    </w:lvl>
    <w:lvl w:ilvl="8" w:tplc="2076B3FE">
      <w:numFmt w:val="decimal"/>
      <w:lvlText w:val=""/>
      <w:lvlJc w:val="left"/>
      <w:pPr>
        <w:ind w:left="0" w:firstLine="0"/>
      </w:p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FBD"/>
    <w:rsid w:val="007D2FBD"/>
    <w:rsid w:val="00D15074"/>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B260D4-9BDC-45DF-8B0B-0F2C994A8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FB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2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669</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2020-08-20T09:32:00Z</dcterms:created>
  <dcterms:modified xsi:type="dcterms:W3CDTF">2020-08-20T09:33:00Z</dcterms:modified>
</cp:coreProperties>
</file>