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D7" w:rsidRPr="00B36D76" w:rsidRDefault="008178A3" w:rsidP="008178A3">
      <w:pPr>
        <w:jc w:val="center"/>
        <w:rPr>
          <w:rFonts w:ascii="Arial" w:hAnsi="Arial" w:cs="Arial"/>
          <w:b/>
          <w:sz w:val="24"/>
          <w:szCs w:val="24"/>
        </w:rPr>
      </w:pPr>
      <w:bookmarkStart w:id="0" w:name="_GoBack"/>
      <w:bookmarkEnd w:id="0"/>
      <w:r w:rsidRPr="00B36D76">
        <w:rPr>
          <w:rFonts w:ascii="Arial" w:hAnsi="Arial" w:cs="Arial"/>
          <w:b/>
          <w:sz w:val="24"/>
          <w:szCs w:val="24"/>
        </w:rPr>
        <w:t>INFORMACIJA</w:t>
      </w:r>
    </w:p>
    <w:p w:rsidR="00B36D76" w:rsidRDefault="006F519D" w:rsidP="00A22829">
      <w:pPr>
        <w:jc w:val="center"/>
        <w:rPr>
          <w:rFonts w:ascii="Arial" w:hAnsi="Arial" w:cs="Arial"/>
          <w:b/>
          <w:sz w:val="24"/>
          <w:szCs w:val="24"/>
        </w:rPr>
      </w:pPr>
      <w:r>
        <w:rPr>
          <w:rFonts w:ascii="Arial" w:hAnsi="Arial" w:cs="Arial"/>
          <w:b/>
          <w:sz w:val="24"/>
          <w:szCs w:val="24"/>
        </w:rPr>
        <w:t>o</w:t>
      </w:r>
      <w:r w:rsidR="00B36D76" w:rsidRPr="00B36D76">
        <w:rPr>
          <w:rFonts w:ascii="Arial" w:hAnsi="Arial" w:cs="Arial"/>
          <w:b/>
          <w:sz w:val="24"/>
          <w:szCs w:val="24"/>
        </w:rPr>
        <w:t xml:space="preserve"> aktivnostima na pripremi dokumenata za dobijanje grant sredstava EU kroz IPA II  predpristupnu pomoć za period 2018-2020</w:t>
      </w:r>
    </w:p>
    <w:p w:rsidR="00642357" w:rsidRDefault="00642357" w:rsidP="002B11DF">
      <w:pPr>
        <w:spacing w:after="0" w:line="240" w:lineRule="auto"/>
        <w:ind w:firstLine="709"/>
        <w:jc w:val="both"/>
        <w:rPr>
          <w:rFonts w:ascii="Arial" w:eastAsia="Times New Roman" w:hAnsi="Arial" w:cs="Arial"/>
          <w:sz w:val="24"/>
          <w:szCs w:val="24"/>
          <w:lang w:eastAsia="bs-Latn-BA"/>
        </w:rPr>
      </w:pPr>
    </w:p>
    <w:p w:rsidR="00642357" w:rsidRDefault="00642357" w:rsidP="00642357">
      <w:pPr>
        <w:spacing w:after="0" w:line="240" w:lineRule="auto"/>
        <w:ind w:firstLine="709"/>
        <w:rPr>
          <w:rFonts w:ascii="Arial" w:eastAsia="Times New Roman" w:hAnsi="Arial" w:cs="Arial"/>
          <w:b/>
          <w:sz w:val="24"/>
          <w:szCs w:val="24"/>
          <w:lang w:eastAsia="bs-Latn-BA"/>
        </w:rPr>
      </w:pPr>
      <w:r>
        <w:rPr>
          <w:rFonts w:ascii="Arial" w:eastAsia="Times New Roman" w:hAnsi="Arial" w:cs="Arial"/>
          <w:b/>
          <w:sz w:val="24"/>
          <w:szCs w:val="24"/>
          <w:lang w:eastAsia="bs-Latn-BA"/>
        </w:rPr>
        <w:t xml:space="preserve">DIO I: </w:t>
      </w:r>
      <w:r w:rsidRPr="00642357">
        <w:rPr>
          <w:rFonts w:ascii="Arial" w:eastAsia="Times New Roman" w:hAnsi="Arial" w:cs="Arial"/>
          <w:b/>
          <w:sz w:val="24"/>
          <w:szCs w:val="24"/>
          <w:lang w:eastAsia="bs-Latn-BA"/>
        </w:rPr>
        <w:t>SEKTORSKI PLANSKI DOKUMENT ( 2018-2020) I AKCIONI DOKUMENTI</w:t>
      </w:r>
    </w:p>
    <w:p w:rsidR="00642357" w:rsidRPr="00642357" w:rsidRDefault="00642357" w:rsidP="00642357">
      <w:pPr>
        <w:spacing w:after="0" w:line="240" w:lineRule="auto"/>
        <w:ind w:firstLine="709"/>
        <w:rPr>
          <w:rFonts w:ascii="Arial" w:eastAsia="Times New Roman" w:hAnsi="Arial" w:cs="Arial"/>
          <w:b/>
          <w:sz w:val="24"/>
          <w:szCs w:val="24"/>
          <w:lang w:eastAsia="bs-Latn-BA"/>
        </w:rPr>
      </w:pPr>
    </w:p>
    <w:p w:rsidR="00A22829" w:rsidRDefault="00A22829" w:rsidP="002B11DF">
      <w:pPr>
        <w:spacing w:after="0" w:line="240" w:lineRule="auto"/>
        <w:ind w:firstLine="709"/>
        <w:jc w:val="both"/>
        <w:rPr>
          <w:rFonts w:ascii="Arial" w:eastAsia="Times New Roman" w:hAnsi="Arial" w:cs="Arial"/>
          <w:sz w:val="24"/>
          <w:szCs w:val="24"/>
          <w:lang w:eastAsia="bs-Latn-BA"/>
        </w:rPr>
      </w:pPr>
      <w:r w:rsidRPr="00A22829">
        <w:rPr>
          <w:rFonts w:ascii="Arial" w:eastAsia="Times New Roman" w:hAnsi="Arial" w:cs="Arial"/>
          <w:sz w:val="24"/>
          <w:szCs w:val="24"/>
          <w:lang w:eastAsia="bs-Latn-BA"/>
        </w:rPr>
        <w:t>Okvirni sporazum predstavlja osnov za korištenj</w:t>
      </w:r>
      <w:r>
        <w:rPr>
          <w:rFonts w:ascii="Arial" w:eastAsia="Times New Roman" w:hAnsi="Arial" w:cs="Arial"/>
          <w:sz w:val="24"/>
          <w:szCs w:val="24"/>
          <w:lang w:eastAsia="bs-Latn-BA"/>
        </w:rPr>
        <w:t>e sredstava IPA II (2014-2020), a z</w:t>
      </w:r>
      <w:r w:rsidRPr="00A22829">
        <w:rPr>
          <w:rFonts w:ascii="Arial" w:eastAsia="Times New Roman" w:hAnsi="Arial" w:cs="Arial"/>
          <w:sz w:val="24"/>
          <w:szCs w:val="24"/>
          <w:lang w:eastAsia="bs-Latn-BA"/>
        </w:rPr>
        <w:t>aključuje se između Evropske komisije i države korisnice IPA II</w:t>
      </w:r>
      <w:r w:rsidR="002B11DF">
        <w:rPr>
          <w:rFonts w:ascii="Arial" w:eastAsia="Times New Roman" w:hAnsi="Arial" w:cs="Arial"/>
          <w:sz w:val="24"/>
          <w:szCs w:val="24"/>
          <w:lang w:eastAsia="bs-Latn-BA"/>
        </w:rPr>
        <w:t xml:space="preserve"> i </w:t>
      </w:r>
      <w:r w:rsidRPr="00A22829">
        <w:rPr>
          <w:rFonts w:ascii="Arial" w:eastAsia="Times New Roman" w:hAnsi="Arial" w:cs="Arial"/>
          <w:sz w:val="24"/>
          <w:szCs w:val="24"/>
          <w:lang w:eastAsia="bs-Latn-BA"/>
        </w:rPr>
        <w:t xml:space="preserve">njim se definišu principi finansijske saradnje između korisnika i </w:t>
      </w:r>
      <w:r w:rsidR="002B11DF">
        <w:rPr>
          <w:rFonts w:ascii="Arial" w:eastAsia="Times New Roman" w:hAnsi="Arial" w:cs="Arial"/>
          <w:sz w:val="24"/>
          <w:szCs w:val="24"/>
          <w:lang w:eastAsia="bs-Latn-BA"/>
        </w:rPr>
        <w:t>Evropske k</w:t>
      </w:r>
      <w:r w:rsidRPr="00A22829">
        <w:rPr>
          <w:rFonts w:ascii="Arial" w:eastAsia="Times New Roman" w:hAnsi="Arial" w:cs="Arial"/>
          <w:sz w:val="24"/>
          <w:szCs w:val="24"/>
          <w:lang w:eastAsia="bs-Latn-BA"/>
        </w:rPr>
        <w:t>omisije</w:t>
      </w:r>
      <w:r>
        <w:rPr>
          <w:rFonts w:ascii="Arial" w:eastAsia="Times New Roman" w:hAnsi="Arial" w:cs="Arial"/>
          <w:sz w:val="24"/>
          <w:szCs w:val="24"/>
          <w:lang w:eastAsia="bs-Latn-BA"/>
        </w:rPr>
        <w:t>.</w:t>
      </w:r>
      <w:r w:rsidRPr="00A22829">
        <w:rPr>
          <w:rFonts w:ascii="Arial" w:eastAsia="Times New Roman" w:hAnsi="Arial" w:cs="Arial"/>
          <w:sz w:val="24"/>
          <w:szCs w:val="24"/>
          <w:lang w:eastAsia="bs-Latn-BA"/>
        </w:rPr>
        <w:t>Okvirni sporazum IPA II između Bosne i Hercegovine i Evropske komisije stupio je na snagu 24. augusta 2015. godine.</w:t>
      </w:r>
    </w:p>
    <w:p w:rsidR="0003229B" w:rsidRPr="00A22829" w:rsidRDefault="0003229B" w:rsidP="002B11DF">
      <w:pPr>
        <w:spacing w:after="0" w:line="240" w:lineRule="auto"/>
        <w:ind w:firstLine="709"/>
        <w:jc w:val="both"/>
        <w:rPr>
          <w:rFonts w:ascii="Arial" w:eastAsia="Times New Roman" w:hAnsi="Arial" w:cs="Arial"/>
          <w:sz w:val="24"/>
          <w:szCs w:val="24"/>
          <w:lang w:eastAsia="bs-Latn-BA"/>
        </w:rPr>
      </w:pPr>
    </w:p>
    <w:p w:rsidR="00A22829" w:rsidRDefault="009C5272" w:rsidP="002B11DF">
      <w:pPr>
        <w:spacing w:after="0" w:line="240" w:lineRule="auto"/>
        <w:ind w:firstLine="708"/>
        <w:jc w:val="both"/>
        <w:rPr>
          <w:rFonts w:ascii="Arial" w:eastAsia="Times New Roman" w:hAnsi="Arial" w:cs="Arial"/>
          <w:sz w:val="24"/>
          <w:szCs w:val="24"/>
          <w:lang w:eastAsia="bs-Latn-BA"/>
        </w:rPr>
      </w:pPr>
      <w:hyperlink r:id="rId7" w:tgtFrame="_blank" w:history="1">
        <w:r w:rsidR="00A22829" w:rsidRPr="00A22829">
          <w:rPr>
            <w:rFonts w:ascii="Arial" w:eastAsia="Times New Roman" w:hAnsi="Arial" w:cs="Arial"/>
            <w:sz w:val="24"/>
            <w:szCs w:val="24"/>
            <w:lang w:eastAsia="bs-Latn-BA"/>
          </w:rPr>
          <w:t>Indikativni strateški dokument</w:t>
        </w:r>
        <w:r w:rsidR="008371AD">
          <w:rPr>
            <w:rFonts w:ascii="Arial" w:eastAsia="Times New Roman" w:hAnsi="Arial" w:cs="Arial"/>
            <w:sz w:val="24"/>
            <w:szCs w:val="24"/>
            <w:lang w:eastAsia="bs-Latn-BA"/>
          </w:rPr>
          <w:t xml:space="preserve"> (ISP) </w:t>
        </w:r>
        <w:r w:rsidR="00A22829" w:rsidRPr="00A22829">
          <w:rPr>
            <w:rFonts w:ascii="Arial" w:eastAsia="Times New Roman" w:hAnsi="Arial" w:cs="Arial"/>
            <w:sz w:val="24"/>
            <w:szCs w:val="24"/>
            <w:lang w:eastAsia="bs-Latn-BA"/>
          </w:rPr>
          <w:t xml:space="preserve">za IPA II za Bosnu i Hercegovinu </w:t>
        </w:r>
      </w:hyperlink>
      <w:r w:rsidR="002B11DF">
        <w:rPr>
          <w:rFonts w:ascii="Arial" w:eastAsia="Times New Roman" w:hAnsi="Arial" w:cs="Arial"/>
          <w:sz w:val="24"/>
          <w:szCs w:val="24"/>
          <w:lang w:eastAsia="bs-Latn-BA"/>
        </w:rPr>
        <w:t xml:space="preserve">iz </w:t>
      </w:r>
      <w:r w:rsidR="00A22829" w:rsidRPr="00A22829">
        <w:rPr>
          <w:rFonts w:ascii="Arial" w:eastAsia="Times New Roman" w:hAnsi="Arial" w:cs="Arial"/>
          <w:sz w:val="24"/>
          <w:szCs w:val="24"/>
          <w:lang w:eastAsia="bs-Latn-BA"/>
        </w:rPr>
        <w:t xml:space="preserve">2014. godine definiše prioritete za EU finansijsku pomoć </w:t>
      </w:r>
      <w:r w:rsidR="002B11DF">
        <w:rPr>
          <w:rFonts w:ascii="Arial" w:eastAsia="Times New Roman" w:hAnsi="Arial" w:cs="Arial"/>
          <w:sz w:val="24"/>
          <w:szCs w:val="24"/>
          <w:lang w:eastAsia="bs-Latn-BA"/>
        </w:rPr>
        <w:t>za</w:t>
      </w:r>
      <w:r w:rsidR="00A22829" w:rsidRPr="00A22829">
        <w:rPr>
          <w:rFonts w:ascii="Arial" w:eastAsia="Times New Roman" w:hAnsi="Arial" w:cs="Arial"/>
          <w:sz w:val="24"/>
          <w:szCs w:val="24"/>
          <w:lang w:eastAsia="bs-Latn-BA"/>
        </w:rPr>
        <w:t xml:space="preserve"> podršku BiH na njenom putu pristupanja EU. </w:t>
      </w:r>
    </w:p>
    <w:p w:rsidR="0003229B" w:rsidRPr="00A22829" w:rsidRDefault="0003229B" w:rsidP="002B11DF">
      <w:pPr>
        <w:spacing w:after="0" w:line="240" w:lineRule="auto"/>
        <w:ind w:firstLine="708"/>
        <w:jc w:val="both"/>
        <w:rPr>
          <w:rFonts w:ascii="Arial" w:eastAsia="Times New Roman" w:hAnsi="Arial" w:cs="Arial"/>
          <w:sz w:val="24"/>
          <w:szCs w:val="24"/>
          <w:lang w:eastAsia="bs-Latn-BA"/>
        </w:rPr>
      </w:pPr>
    </w:p>
    <w:p w:rsidR="001749A5" w:rsidRDefault="002B11DF" w:rsidP="002B11DF">
      <w:pPr>
        <w:shd w:val="clear" w:color="auto" w:fill="FFFFFF"/>
        <w:spacing w:after="0" w:line="240" w:lineRule="auto"/>
        <w:ind w:firstLine="708"/>
        <w:jc w:val="both"/>
        <w:textAlignment w:val="baseline"/>
        <w:rPr>
          <w:rFonts w:ascii="Arial" w:eastAsia="Times New Roman" w:hAnsi="Arial" w:cs="Arial"/>
          <w:sz w:val="24"/>
          <w:szCs w:val="24"/>
          <w:lang w:eastAsia="bs-Latn-BA"/>
        </w:rPr>
      </w:pPr>
      <w:r>
        <w:rPr>
          <w:rFonts w:ascii="Arial" w:eastAsia="Times New Roman" w:hAnsi="Arial" w:cs="Arial"/>
          <w:sz w:val="24"/>
          <w:szCs w:val="24"/>
          <w:lang w:eastAsia="bs-Latn-BA"/>
        </w:rPr>
        <w:t xml:space="preserve">Nakon usvajanja </w:t>
      </w:r>
      <w:r w:rsidR="001749A5">
        <w:rPr>
          <w:rFonts w:ascii="Arial" w:eastAsia="Times New Roman" w:hAnsi="Arial" w:cs="Arial"/>
          <w:sz w:val="24"/>
          <w:szCs w:val="24"/>
          <w:lang w:eastAsia="bs-Latn-BA"/>
        </w:rPr>
        <w:t xml:space="preserve">Strategije aproksimacija propisa pravnoj stečevini EU u oblasti okoliša Bosne i Hercegovine – EAS BIH, revidiran je </w:t>
      </w:r>
      <w:hyperlink r:id="rId8" w:tgtFrame="_blank" w:history="1">
        <w:r w:rsidR="00A22829" w:rsidRPr="00A22829">
          <w:rPr>
            <w:rFonts w:ascii="Arial" w:eastAsia="Times New Roman" w:hAnsi="Arial" w:cs="Arial"/>
            <w:sz w:val="24"/>
            <w:szCs w:val="24"/>
            <w:lang w:eastAsia="bs-Latn-BA"/>
          </w:rPr>
          <w:t>Indikativni strateški dokument za Bosnu i Hercegovinu za period 201</w:t>
        </w:r>
        <w:r w:rsidR="001749A5">
          <w:rPr>
            <w:rFonts w:ascii="Arial" w:eastAsia="Times New Roman" w:hAnsi="Arial" w:cs="Arial"/>
            <w:sz w:val="24"/>
            <w:szCs w:val="24"/>
            <w:lang w:eastAsia="bs-Latn-BA"/>
          </w:rPr>
          <w:t>8</w:t>
        </w:r>
        <w:r w:rsidR="00A22829" w:rsidRPr="00A22829">
          <w:rPr>
            <w:rFonts w:ascii="Arial" w:eastAsia="Times New Roman" w:hAnsi="Arial" w:cs="Arial"/>
            <w:sz w:val="24"/>
            <w:szCs w:val="24"/>
            <w:lang w:eastAsia="bs-Latn-BA"/>
          </w:rPr>
          <w:t>-2020</w:t>
        </w:r>
      </w:hyperlink>
      <w:r w:rsidR="00A22829" w:rsidRPr="00A22829">
        <w:rPr>
          <w:rFonts w:ascii="Arial" w:eastAsia="Times New Roman" w:hAnsi="Arial" w:cs="Arial"/>
          <w:sz w:val="24"/>
          <w:szCs w:val="24"/>
          <w:lang w:eastAsia="bs-Latn-BA"/>
        </w:rPr>
        <w:t xml:space="preserve"> </w:t>
      </w:r>
      <w:r w:rsidR="001749A5">
        <w:rPr>
          <w:rFonts w:ascii="Arial" w:eastAsia="Times New Roman" w:hAnsi="Arial" w:cs="Arial"/>
          <w:sz w:val="24"/>
          <w:szCs w:val="24"/>
          <w:lang w:eastAsia="bs-Latn-BA"/>
        </w:rPr>
        <w:t xml:space="preserve">i uključio </w:t>
      </w:r>
      <w:r w:rsidR="000D5F9A">
        <w:rPr>
          <w:rFonts w:ascii="Arial" w:eastAsia="Times New Roman" w:hAnsi="Arial" w:cs="Arial"/>
          <w:sz w:val="24"/>
          <w:szCs w:val="24"/>
          <w:lang w:eastAsia="bs-Latn-BA"/>
        </w:rPr>
        <w:t xml:space="preserve">je </w:t>
      </w:r>
      <w:r w:rsidR="00CC247B">
        <w:rPr>
          <w:rFonts w:ascii="Arial" w:eastAsia="Times New Roman" w:hAnsi="Arial" w:cs="Arial"/>
          <w:sz w:val="24"/>
          <w:szCs w:val="24"/>
          <w:lang w:eastAsia="bs-Latn-BA"/>
        </w:rPr>
        <w:t xml:space="preserve">prioritete za </w:t>
      </w:r>
      <w:r w:rsidR="001749A5">
        <w:rPr>
          <w:rFonts w:ascii="Arial" w:eastAsia="Times New Roman" w:hAnsi="Arial" w:cs="Arial"/>
          <w:sz w:val="24"/>
          <w:szCs w:val="24"/>
          <w:lang w:eastAsia="bs-Latn-BA"/>
        </w:rPr>
        <w:t>sektor Okoliša čime su stvoreni uslovi za pripremu prijedloga za finansijsku podršku za sektor Okoliša u BIH</w:t>
      </w:r>
      <w:r w:rsidR="0003229B">
        <w:rPr>
          <w:rFonts w:ascii="Arial" w:eastAsia="Times New Roman" w:hAnsi="Arial" w:cs="Arial"/>
          <w:sz w:val="24"/>
          <w:szCs w:val="24"/>
          <w:lang w:eastAsia="bs-Latn-BA"/>
        </w:rPr>
        <w:t>.</w:t>
      </w:r>
    </w:p>
    <w:p w:rsidR="0003229B" w:rsidRDefault="0003229B" w:rsidP="002B11DF">
      <w:pPr>
        <w:shd w:val="clear" w:color="auto" w:fill="FFFFFF"/>
        <w:spacing w:after="0" w:line="240" w:lineRule="auto"/>
        <w:ind w:firstLine="708"/>
        <w:jc w:val="both"/>
        <w:textAlignment w:val="baseline"/>
        <w:rPr>
          <w:rFonts w:ascii="Arial" w:eastAsia="Times New Roman" w:hAnsi="Arial" w:cs="Arial"/>
          <w:sz w:val="24"/>
          <w:szCs w:val="24"/>
          <w:lang w:eastAsia="bs-Latn-BA"/>
        </w:rPr>
      </w:pPr>
    </w:p>
    <w:p w:rsidR="000D5F9A" w:rsidRDefault="000D5F9A" w:rsidP="000D5F9A">
      <w:pPr>
        <w:pStyle w:val="tableindentlines"/>
        <w:ind w:firstLine="360"/>
        <w:jc w:val="both"/>
        <w:rPr>
          <w:rStyle w:val="tlid-translation"/>
          <w:rFonts w:ascii="Arial" w:hAnsi="Arial" w:cs="Arial"/>
        </w:rPr>
      </w:pPr>
      <w:r>
        <w:rPr>
          <w:rStyle w:val="tlid-translation"/>
          <w:rFonts w:ascii="Arial" w:hAnsi="Arial" w:cs="Arial"/>
        </w:rPr>
        <w:t>ISP je definisao r</w:t>
      </w:r>
      <w:r w:rsidRPr="00CC247B">
        <w:rPr>
          <w:rStyle w:val="tlid-translation"/>
          <w:rFonts w:ascii="Arial" w:hAnsi="Arial" w:cs="Arial"/>
        </w:rPr>
        <w:t>ezultat</w:t>
      </w:r>
      <w:r>
        <w:rPr>
          <w:rStyle w:val="tlid-translation"/>
          <w:rFonts w:ascii="Arial" w:hAnsi="Arial" w:cs="Arial"/>
        </w:rPr>
        <w:t>e</w:t>
      </w:r>
      <w:r w:rsidRPr="00CC247B">
        <w:rPr>
          <w:rStyle w:val="tlid-translation"/>
          <w:rFonts w:ascii="Arial" w:hAnsi="Arial" w:cs="Arial"/>
        </w:rPr>
        <w:t xml:space="preserve"> koje treba postići uz podršku EU relevantnu za sektorsko programiranje do 2020. </w:t>
      </w:r>
      <w:r w:rsidR="00FE4F6C" w:rsidRPr="00CC247B">
        <w:rPr>
          <w:rStyle w:val="tlid-translation"/>
          <w:rFonts w:ascii="Arial" w:hAnsi="Arial" w:cs="Arial"/>
        </w:rPr>
        <w:t>G</w:t>
      </w:r>
      <w:r w:rsidRPr="00CC247B">
        <w:rPr>
          <w:rStyle w:val="tlid-translation"/>
          <w:rFonts w:ascii="Arial" w:hAnsi="Arial" w:cs="Arial"/>
        </w:rPr>
        <w:t>odine</w:t>
      </w:r>
      <w:r w:rsidR="00FE4F6C">
        <w:rPr>
          <w:rStyle w:val="tlid-translation"/>
          <w:rFonts w:ascii="Arial" w:hAnsi="Arial" w:cs="Arial"/>
        </w:rPr>
        <w:t xml:space="preserve">, koji </w:t>
      </w:r>
      <w:r w:rsidRPr="00CC247B">
        <w:rPr>
          <w:rStyle w:val="tlid-translation"/>
          <w:rFonts w:ascii="Arial" w:hAnsi="Arial" w:cs="Arial"/>
        </w:rPr>
        <w:t>uključuju, između ostalog, sl</w:t>
      </w:r>
      <w:r w:rsidR="00FE4F6C">
        <w:rPr>
          <w:rStyle w:val="tlid-translation"/>
          <w:rFonts w:ascii="Arial" w:hAnsi="Arial" w:cs="Arial"/>
        </w:rPr>
        <w:t>i</w:t>
      </w:r>
      <w:r w:rsidRPr="00CC247B">
        <w:rPr>
          <w:rStyle w:val="tlid-translation"/>
          <w:rFonts w:ascii="Arial" w:hAnsi="Arial" w:cs="Arial"/>
        </w:rPr>
        <w:t>jedeće:</w:t>
      </w:r>
    </w:p>
    <w:p w:rsidR="000D5F9A" w:rsidRDefault="000D5F9A" w:rsidP="000D5F9A">
      <w:pPr>
        <w:pStyle w:val="tableindentlines"/>
        <w:jc w:val="both"/>
        <w:rPr>
          <w:rStyle w:val="tlid-translation"/>
          <w:rFonts w:ascii="Arial" w:hAnsi="Arial" w:cs="Arial"/>
        </w:rPr>
      </w:pPr>
    </w:p>
    <w:p w:rsidR="000D5F9A" w:rsidRDefault="000D5F9A" w:rsidP="0003229B">
      <w:pPr>
        <w:pStyle w:val="tableindentlines"/>
        <w:numPr>
          <w:ilvl w:val="0"/>
          <w:numId w:val="4"/>
        </w:numPr>
        <w:spacing w:before="120" w:after="120"/>
        <w:ind w:left="714" w:hanging="357"/>
        <w:jc w:val="both"/>
        <w:rPr>
          <w:rFonts w:ascii="Arial" w:hAnsi="Arial" w:cs="Arial"/>
          <w:color w:val="auto"/>
          <w:sz w:val="22"/>
          <w:szCs w:val="22"/>
        </w:rPr>
      </w:pPr>
      <w:r w:rsidRPr="00CC247B">
        <w:rPr>
          <w:rStyle w:val="tlid-translation"/>
          <w:rFonts w:ascii="Arial" w:hAnsi="Arial" w:cs="Arial"/>
        </w:rPr>
        <w:t>Okolišno zakonodavstvo dalje usklađeno sa</w:t>
      </w:r>
      <w:r w:rsidRPr="00CC247B">
        <w:rPr>
          <w:rFonts w:ascii="Arial" w:hAnsi="Arial" w:cs="Arial"/>
          <w:color w:val="auto"/>
          <w:sz w:val="22"/>
          <w:szCs w:val="22"/>
        </w:rPr>
        <w:t xml:space="preserve"> EU </w:t>
      </w:r>
      <w:r w:rsidRPr="00CC247B">
        <w:rPr>
          <w:rFonts w:ascii="Arial" w:hAnsi="Arial" w:cs="Arial"/>
          <w:i/>
          <w:color w:val="auto"/>
          <w:sz w:val="22"/>
          <w:szCs w:val="22"/>
        </w:rPr>
        <w:t>acquis</w:t>
      </w:r>
      <w:r w:rsidRPr="00CC247B">
        <w:rPr>
          <w:rFonts w:ascii="Arial" w:hAnsi="Arial" w:cs="Arial"/>
          <w:color w:val="auto"/>
          <w:sz w:val="22"/>
          <w:szCs w:val="22"/>
        </w:rPr>
        <w:t>;</w:t>
      </w:r>
    </w:p>
    <w:p w:rsidR="000D5F9A" w:rsidRPr="00CC247B" w:rsidRDefault="000D5F9A"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Pr>
          <w:rStyle w:val="tlid-translation"/>
          <w:rFonts w:ascii="Arial" w:hAnsi="Arial" w:cs="Arial"/>
        </w:rPr>
        <w:t>P</w:t>
      </w:r>
      <w:r w:rsidRPr="00CC247B">
        <w:rPr>
          <w:rStyle w:val="tlid-translation"/>
          <w:rFonts w:ascii="Arial" w:hAnsi="Arial" w:cs="Arial"/>
        </w:rPr>
        <w:t xml:space="preserve">oboljšana </w:t>
      </w:r>
      <w:r>
        <w:rPr>
          <w:rStyle w:val="tlid-translation"/>
          <w:rFonts w:ascii="Arial" w:hAnsi="Arial" w:cs="Arial"/>
        </w:rPr>
        <w:t>o</w:t>
      </w:r>
      <w:r w:rsidRPr="00CC247B">
        <w:rPr>
          <w:rStyle w:val="tlid-translation"/>
          <w:rFonts w:ascii="Arial" w:hAnsi="Arial" w:cs="Arial"/>
        </w:rPr>
        <w:t>drživost investicija u sektoru zaštite okoliša boljom koordinacijom relevantnih</w:t>
      </w:r>
      <w:r>
        <w:rPr>
          <w:rStyle w:val="tlid-translation"/>
          <w:rFonts w:ascii="Arial" w:hAnsi="Arial" w:cs="Arial"/>
        </w:rPr>
        <w:t xml:space="preserve"> sudionika</w:t>
      </w:r>
      <w:r w:rsidRPr="00CC247B">
        <w:rPr>
          <w:rStyle w:val="tlid-translation"/>
          <w:rFonts w:ascii="Arial" w:hAnsi="Arial" w:cs="Arial"/>
        </w:rPr>
        <w:t xml:space="preserve"> i podrškom za rad, praćenje i održavanje osiguranih investicija;</w:t>
      </w:r>
    </w:p>
    <w:p w:rsidR="000D5F9A" w:rsidRPr="006D44C5" w:rsidRDefault="000D5F9A" w:rsidP="0003229B">
      <w:pPr>
        <w:pStyle w:val="tableindentlines"/>
        <w:numPr>
          <w:ilvl w:val="0"/>
          <w:numId w:val="4"/>
        </w:numPr>
        <w:spacing w:before="120" w:after="120"/>
        <w:ind w:left="714" w:hanging="357"/>
        <w:jc w:val="both"/>
        <w:rPr>
          <w:rFonts w:ascii="Arial" w:hAnsi="Arial" w:cs="Arial"/>
          <w:color w:val="auto"/>
          <w:sz w:val="22"/>
          <w:szCs w:val="22"/>
        </w:rPr>
      </w:pPr>
      <w:r w:rsidRPr="00CC247B">
        <w:rPr>
          <w:rStyle w:val="tlid-translation"/>
          <w:rFonts w:ascii="Arial" w:hAnsi="Arial" w:cs="Arial"/>
          <w:szCs w:val="24"/>
        </w:rPr>
        <w:t xml:space="preserve">Povećani institucionalni kapaciteti relevantnih ministarstava, regulatora i drugih aktera u </w:t>
      </w:r>
      <w:r>
        <w:rPr>
          <w:rStyle w:val="tlid-translation"/>
          <w:rFonts w:ascii="Arial" w:hAnsi="Arial" w:cs="Arial"/>
          <w:szCs w:val="24"/>
        </w:rPr>
        <w:t xml:space="preserve">okolišnom </w:t>
      </w:r>
      <w:r w:rsidRPr="00CC247B">
        <w:rPr>
          <w:rStyle w:val="tlid-translation"/>
          <w:rFonts w:ascii="Arial" w:hAnsi="Arial" w:cs="Arial"/>
          <w:szCs w:val="24"/>
        </w:rPr>
        <w:t>i energetskom sektoru</w:t>
      </w:r>
      <w:r w:rsidRPr="00CC247B">
        <w:rPr>
          <w:rFonts w:ascii="Arial" w:hAnsi="Arial" w:cs="Arial"/>
          <w:szCs w:val="24"/>
        </w:rPr>
        <w:t>;</w:t>
      </w:r>
    </w:p>
    <w:p w:rsidR="000D5F9A" w:rsidRPr="00C82F21" w:rsidRDefault="000D5F9A"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sidRPr="006D44C5">
        <w:rPr>
          <w:rStyle w:val="tlid-translation"/>
          <w:rFonts w:ascii="Arial" w:hAnsi="Arial" w:cs="Arial"/>
        </w:rPr>
        <w:t>Poboljšano prikupljanje i obrada otpadnih voda;</w:t>
      </w:r>
    </w:p>
    <w:p w:rsidR="000D5F9A" w:rsidRPr="000D5F9A" w:rsidRDefault="000D5F9A"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Pr>
          <w:rStyle w:val="tlid-translation"/>
          <w:rFonts w:ascii="Arial" w:hAnsi="Arial" w:cs="Arial"/>
        </w:rPr>
        <w:t xml:space="preserve">Izrada i funkcionisanje Jedinstvene liste prioritetnih projekata (SPP) </w:t>
      </w:r>
      <w:r w:rsidRPr="00C82F21">
        <w:rPr>
          <w:rStyle w:val="tlid-translation"/>
          <w:rFonts w:ascii="Arial" w:hAnsi="Arial" w:cs="Arial"/>
        </w:rPr>
        <w:t xml:space="preserve">za identificiranje prioritetnih investicija u </w:t>
      </w:r>
      <w:r>
        <w:rPr>
          <w:rStyle w:val="tlid-translation"/>
          <w:rFonts w:ascii="Arial" w:hAnsi="Arial" w:cs="Arial"/>
        </w:rPr>
        <w:t xml:space="preserve">oblasti </w:t>
      </w:r>
      <w:r w:rsidRPr="00C82F21">
        <w:rPr>
          <w:rStyle w:val="tlid-translation"/>
          <w:rFonts w:ascii="Arial" w:hAnsi="Arial" w:cs="Arial"/>
        </w:rPr>
        <w:t>vod</w:t>
      </w:r>
      <w:r>
        <w:rPr>
          <w:rStyle w:val="tlid-translation"/>
          <w:rFonts w:ascii="Arial" w:hAnsi="Arial" w:cs="Arial"/>
        </w:rPr>
        <w:t>a</w:t>
      </w:r>
      <w:r w:rsidRPr="00C82F21">
        <w:rPr>
          <w:rStyle w:val="tlid-translation"/>
          <w:rFonts w:ascii="Arial" w:hAnsi="Arial" w:cs="Arial"/>
        </w:rPr>
        <w:t>, upravljanje otpadom, industrijske emisije, kvalitet</w:t>
      </w:r>
      <w:r>
        <w:rPr>
          <w:rStyle w:val="tlid-translation"/>
          <w:rFonts w:ascii="Arial" w:hAnsi="Arial" w:cs="Arial"/>
        </w:rPr>
        <w:t>u</w:t>
      </w:r>
      <w:r w:rsidRPr="00C82F21">
        <w:rPr>
          <w:rStyle w:val="tlid-translation"/>
          <w:rFonts w:ascii="Arial" w:hAnsi="Arial" w:cs="Arial"/>
        </w:rPr>
        <w:t xml:space="preserve"> zraka, zaštit</w:t>
      </w:r>
      <w:r>
        <w:rPr>
          <w:rStyle w:val="tlid-translation"/>
          <w:rFonts w:ascii="Arial" w:hAnsi="Arial" w:cs="Arial"/>
        </w:rPr>
        <w:t>e</w:t>
      </w:r>
      <w:r w:rsidRPr="00C82F21">
        <w:rPr>
          <w:rStyle w:val="tlid-translation"/>
          <w:rFonts w:ascii="Arial" w:hAnsi="Arial" w:cs="Arial"/>
        </w:rPr>
        <w:t xml:space="preserve"> prirode, klimatsk</w:t>
      </w:r>
      <w:r>
        <w:rPr>
          <w:rStyle w:val="tlid-translation"/>
          <w:rFonts w:ascii="Arial" w:hAnsi="Arial" w:cs="Arial"/>
        </w:rPr>
        <w:t>ih</w:t>
      </w:r>
      <w:r w:rsidRPr="00C82F21">
        <w:rPr>
          <w:rStyle w:val="tlid-translation"/>
          <w:rFonts w:ascii="Arial" w:hAnsi="Arial" w:cs="Arial"/>
        </w:rPr>
        <w:t xml:space="preserve"> promjen</w:t>
      </w:r>
      <w:r w:rsidR="00FE4F6C">
        <w:rPr>
          <w:rStyle w:val="tlid-translation"/>
          <w:rFonts w:ascii="Arial" w:hAnsi="Arial" w:cs="Arial"/>
        </w:rPr>
        <w:t xml:space="preserve">a, </w:t>
      </w:r>
      <w:r w:rsidRPr="00C82F21">
        <w:rPr>
          <w:rStyle w:val="tlid-translation"/>
          <w:rFonts w:ascii="Arial" w:hAnsi="Arial" w:cs="Arial"/>
        </w:rPr>
        <w:t>kao i energetski sektor (uzima</w:t>
      </w:r>
      <w:r>
        <w:rPr>
          <w:rStyle w:val="tlid-translation"/>
          <w:rFonts w:ascii="Arial" w:hAnsi="Arial" w:cs="Arial"/>
        </w:rPr>
        <w:t xml:space="preserve">jući </w:t>
      </w:r>
      <w:r w:rsidRPr="00C82F21">
        <w:rPr>
          <w:rStyle w:val="tlid-translation"/>
          <w:rFonts w:ascii="Arial" w:hAnsi="Arial" w:cs="Arial"/>
        </w:rPr>
        <w:t xml:space="preserve"> u obzir za </w:t>
      </w:r>
      <w:r>
        <w:rPr>
          <w:rStyle w:val="tlid-translation"/>
          <w:rFonts w:ascii="Arial" w:hAnsi="Arial" w:cs="Arial"/>
        </w:rPr>
        <w:t>kombinovanje</w:t>
      </w:r>
      <w:r w:rsidRPr="00C82F21">
        <w:rPr>
          <w:rStyle w:val="tlid-translation"/>
          <w:rFonts w:ascii="Arial" w:hAnsi="Arial" w:cs="Arial"/>
        </w:rPr>
        <w:t xml:space="preserve"> bespovratnih sredstava IPA II sa IFI kreditima).</w:t>
      </w:r>
    </w:p>
    <w:p w:rsidR="000D5F9A" w:rsidRPr="000D5F9A" w:rsidRDefault="000D5F9A"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sidRPr="000D5F9A">
        <w:rPr>
          <w:rStyle w:val="tlid-translation"/>
          <w:rFonts w:ascii="Arial" w:hAnsi="Arial" w:cs="Arial"/>
          <w:szCs w:val="24"/>
        </w:rPr>
        <w:t>uspostavljen i osiguran sistem za praćenje kvaliteta parametara koji se odnose na životnu sredinu, uključujući inspekciju i nadzor;</w:t>
      </w:r>
    </w:p>
    <w:p w:rsidR="000D5F9A" w:rsidRPr="000D5F9A" w:rsidRDefault="000D5F9A"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Pr>
          <w:rStyle w:val="tlid-translation"/>
          <w:rFonts w:ascii="Arial" w:hAnsi="Arial" w:cs="Arial"/>
        </w:rPr>
        <w:t>priprem</w:t>
      </w:r>
      <w:r w:rsidR="00FE4F6C">
        <w:rPr>
          <w:rStyle w:val="tlid-translation"/>
          <w:rFonts w:ascii="Arial" w:hAnsi="Arial" w:cs="Arial"/>
        </w:rPr>
        <w:t xml:space="preserve">a BiH </w:t>
      </w:r>
      <w:r w:rsidRPr="000D5F9A">
        <w:rPr>
          <w:rStyle w:val="tlid-translation"/>
          <w:rFonts w:ascii="Arial" w:hAnsi="Arial" w:cs="Arial"/>
        </w:rPr>
        <w:t>za potpuno pridruživanje mehanizmu civilne zaštite EU kao rezultat poboljšanih sistema upravljanja rizicima od katastrofa i spremnosti za vanredne situacije</w:t>
      </w:r>
    </w:p>
    <w:p w:rsidR="006D6FD7" w:rsidRDefault="006D6FD7" w:rsidP="001749A5">
      <w:pPr>
        <w:ind w:firstLine="708"/>
        <w:rPr>
          <w:rFonts w:ascii="Arial" w:hAnsi="Arial" w:cs="Arial"/>
          <w:sz w:val="24"/>
          <w:szCs w:val="24"/>
        </w:rPr>
      </w:pPr>
    </w:p>
    <w:p w:rsidR="00B36D76" w:rsidRDefault="00B36D76" w:rsidP="001749A5">
      <w:pPr>
        <w:ind w:firstLine="708"/>
        <w:rPr>
          <w:rFonts w:ascii="Arial" w:hAnsi="Arial" w:cs="Arial"/>
          <w:sz w:val="24"/>
          <w:szCs w:val="24"/>
        </w:rPr>
      </w:pPr>
      <w:r>
        <w:rPr>
          <w:rFonts w:ascii="Arial" w:hAnsi="Arial" w:cs="Arial"/>
          <w:sz w:val="24"/>
          <w:szCs w:val="24"/>
        </w:rPr>
        <w:t xml:space="preserve">Federalno ministarstvo okoliša i turizma u pripremi i izradi dokumenata za </w:t>
      </w:r>
      <w:r w:rsidR="00A22829">
        <w:rPr>
          <w:rFonts w:ascii="Arial" w:hAnsi="Arial" w:cs="Arial"/>
          <w:sz w:val="24"/>
          <w:szCs w:val="24"/>
        </w:rPr>
        <w:t>dobijanje bespovratnih finansijskih sredstava za sektor okoliša učestvuje putem svojih predstavnika u Sektorskoj Radnoj Grupi (SRG) za pripremu Sektorskog Planskog Dokumenta – SPD za period 2018-2020 i Akcionih Dokumenata za svaku godinu ( AD za 2018 i AD za 2019-2020).</w:t>
      </w:r>
      <w:r w:rsidR="00C97797">
        <w:rPr>
          <w:rFonts w:ascii="Arial" w:hAnsi="Arial" w:cs="Arial"/>
          <w:sz w:val="24"/>
          <w:szCs w:val="24"/>
        </w:rPr>
        <w:t xml:space="preserve"> Sektorski planski dokument – SPD  je u potpunosti usaglašen sa ISP i definisanim ciljevima i rezultatima za poboljšanja u sektoru okoliša.</w:t>
      </w:r>
    </w:p>
    <w:p w:rsidR="00C97797" w:rsidRDefault="00C97797" w:rsidP="00FE4F6C">
      <w:pPr>
        <w:ind w:firstLine="708"/>
        <w:jc w:val="both"/>
        <w:rPr>
          <w:rFonts w:ascii="Arial" w:hAnsi="Arial" w:cs="Arial"/>
          <w:sz w:val="24"/>
          <w:szCs w:val="24"/>
        </w:rPr>
      </w:pPr>
      <w:r>
        <w:rPr>
          <w:rFonts w:ascii="Arial" w:hAnsi="Arial" w:cs="Arial"/>
          <w:sz w:val="24"/>
          <w:szCs w:val="24"/>
        </w:rPr>
        <w:lastRenderedPageBreak/>
        <w:t xml:space="preserve">SPD je identifikovao prioritetne oblasti sa specifičnim ciljevima, očekivanim </w:t>
      </w:r>
      <w:r w:rsidR="00FE4F6C">
        <w:rPr>
          <w:rFonts w:ascii="Arial" w:hAnsi="Arial" w:cs="Arial"/>
          <w:sz w:val="24"/>
          <w:szCs w:val="24"/>
        </w:rPr>
        <w:t>r</w:t>
      </w:r>
      <w:r>
        <w:rPr>
          <w:rFonts w:ascii="Arial" w:hAnsi="Arial" w:cs="Arial"/>
          <w:sz w:val="24"/>
          <w:szCs w:val="24"/>
        </w:rPr>
        <w:t>ezultatima za svaki prioritet:</w:t>
      </w:r>
    </w:p>
    <w:p w:rsidR="00C97797" w:rsidRPr="00C97797" w:rsidRDefault="00C97797" w:rsidP="00FE4F6C">
      <w:pPr>
        <w:spacing w:after="0"/>
        <w:ind w:left="709"/>
        <w:jc w:val="both"/>
        <w:rPr>
          <w:rFonts w:ascii="Arial" w:hAnsi="Arial" w:cs="Arial"/>
          <w:lang w:val="en-GB"/>
        </w:rPr>
      </w:pPr>
      <w:r w:rsidRPr="00C97797">
        <w:rPr>
          <w:rFonts w:ascii="Arial" w:hAnsi="Arial" w:cs="Arial"/>
          <w:lang w:val="en-GB"/>
        </w:rPr>
        <w:t xml:space="preserve">Prioritet 1 </w:t>
      </w:r>
      <w:r>
        <w:rPr>
          <w:rFonts w:ascii="Arial" w:hAnsi="Arial" w:cs="Arial"/>
          <w:lang w:val="en-GB"/>
        </w:rPr>
        <w:t>–</w:t>
      </w:r>
      <w:r w:rsidRPr="00C97797">
        <w:rPr>
          <w:rFonts w:ascii="Arial" w:hAnsi="Arial" w:cs="Arial"/>
          <w:lang w:val="en-GB"/>
        </w:rPr>
        <w:t xml:space="preserve"> Horizontal</w:t>
      </w:r>
      <w:r>
        <w:rPr>
          <w:rFonts w:ascii="Arial" w:hAnsi="Arial" w:cs="Arial"/>
          <w:lang w:val="en-GB"/>
        </w:rPr>
        <w:t>na pitanja</w:t>
      </w:r>
    </w:p>
    <w:p w:rsidR="00C97797" w:rsidRPr="00C97797" w:rsidRDefault="00C97797" w:rsidP="00FE4F6C">
      <w:pPr>
        <w:spacing w:after="0"/>
        <w:ind w:left="709"/>
        <w:jc w:val="both"/>
        <w:rPr>
          <w:rFonts w:ascii="Arial" w:hAnsi="Arial" w:cs="Arial"/>
          <w:lang w:val="en-GB"/>
        </w:rPr>
      </w:pPr>
      <w:r w:rsidRPr="00C97797">
        <w:rPr>
          <w:rFonts w:ascii="Arial" w:hAnsi="Arial" w:cs="Arial"/>
          <w:lang w:val="en-GB"/>
        </w:rPr>
        <w:t>Priorit</w:t>
      </w:r>
      <w:r>
        <w:rPr>
          <w:rFonts w:ascii="Arial" w:hAnsi="Arial" w:cs="Arial"/>
          <w:lang w:val="en-GB"/>
        </w:rPr>
        <w:t>et</w:t>
      </w:r>
      <w:r w:rsidRPr="00C97797">
        <w:rPr>
          <w:rFonts w:ascii="Arial" w:hAnsi="Arial" w:cs="Arial"/>
          <w:lang w:val="en-GB"/>
        </w:rPr>
        <w:t xml:space="preserve"> 2 </w:t>
      </w:r>
      <w:r>
        <w:rPr>
          <w:rFonts w:ascii="Arial" w:hAnsi="Arial" w:cs="Arial"/>
          <w:lang w:val="en-GB"/>
        </w:rPr>
        <w:t>–</w:t>
      </w:r>
      <w:r w:rsidRPr="00C97797">
        <w:rPr>
          <w:rFonts w:ascii="Arial" w:hAnsi="Arial" w:cs="Arial"/>
          <w:lang w:val="en-GB"/>
        </w:rPr>
        <w:t xml:space="preserve"> </w:t>
      </w:r>
      <w:r>
        <w:rPr>
          <w:rFonts w:ascii="Arial" w:hAnsi="Arial" w:cs="Arial"/>
          <w:lang w:val="en-GB"/>
        </w:rPr>
        <w:t>Upravljanje vodama</w:t>
      </w:r>
    </w:p>
    <w:p w:rsidR="00C97797" w:rsidRPr="00C97797" w:rsidRDefault="00C97797" w:rsidP="00FE4F6C">
      <w:pPr>
        <w:spacing w:after="0"/>
        <w:ind w:left="709"/>
        <w:jc w:val="both"/>
        <w:rPr>
          <w:rFonts w:ascii="Arial" w:hAnsi="Arial" w:cs="Arial"/>
          <w:lang w:val="en-GB"/>
        </w:rPr>
      </w:pPr>
      <w:r w:rsidRPr="00C97797">
        <w:rPr>
          <w:rFonts w:ascii="Arial" w:hAnsi="Arial" w:cs="Arial"/>
          <w:lang w:val="en-GB"/>
        </w:rPr>
        <w:t>Priorit</w:t>
      </w:r>
      <w:r>
        <w:rPr>
          <w:rFonts w:ascii="Arial" w:hAnsi="Arial" w:cs="Arial"/>
          <w:lang w:val="en-GB"/>
        </w:rPr>
        <w:t>et</w:t>
      </w:r>
      <w:r w:rsidRPr="00C97797">
        <w:rPr>
          <w:rFonts w:ascii="Arial" w:hAnsi="Arial" w:cs="Arial"/>
          <w:lang w:val="en-GB"/>
        </w:rPr>
        <w:t xml:space="preserve"> 3 </w:t>
      </w:r>
      <w:r>
        <w:rPr>
          <w:rFonts w:ascii="Arial" w:hAnsi="Arial" w:cs="Arial"/>
          <w:lang w:val="en-GB"/>
        </w:rPr>
        <w:t>–</w:t>
      </w:r>
      <w:r w:rsidRPr="00C97797">
        <w:rPr>
          <w:rFonts w:ascii="Arial" w:hAnsi="Arial" w:cs="Arial"/>
          <w:lang w:val="en-GB"/>
        </w:rPr>
        <w:t xml:space="preserve"> </w:t>
      </w:r>
      <w:r>
        <w:rPr>
          <w:rFonts w:ascii="Arial" w:hAnsi="Arial" w:cs="Arial"/>
          <w:lang w:val="en-GB"/>
        </w:rPr>
        <w:t>Upravljanje otpadom</w:t>
      </w:r>
    </w:p>
    <w:p w:rsidR="00C97797" w:rsidRPr="00C97797" w:rsidRDefault="00C97797" w:rsidP="00FE4F6C">
      <w:pPr>
        <w:spacing w:after="0"/>
        <w:ind w:left="709"/>
        <w:jc w:val="both"/>
        <w:rPr>
          <w:rFonts w:ascii="Arial" w:hAnsi="Arial" w:cs="Arial"/>
          <w:lang w:val="en-GB"/>
        </w:rPr>
      </w:pPr>
      <w:r w:rsidRPr="00C97797">
        <w:rPr>
          <w:rFonts w:ascii="Arial" w:hAnsi="Arial" w:cs="Arial"/>
          <w:lang w:val="en-GB"/>
        </w:rPr>
        <w:t>Priorit</w:t>
      </w:r>
      <w:r>
        <w:rPr>
          <w:rFonts w:ascii="Arial" w:hAnsi="Arial" w:cs="Arial"/>
          <w:lang w:val="en-GB"/>
        </w:rPr>
        <w:t>et</w:t>
      </w:r>
      <w:r w:rsidRPr="00C97797">
        <w:rPr>
          <w:rFonts w:ascii="Arial" w:hAnsi="Arial" w:cs="Arial"/>
          <w:lang w:val="en-GB"/>
        </w:rPr>
        <w:t xml:space="preserve"> 4 </w:t>
      </w:r>
      <w:r>
        <w:rPr>
          <w:rFonts w:ascii="Arial" w:hAnsi="Arial" w:cs="Arial"/>
          <w:lang w:val="en-GB"/>
        </w:rPr>
        <w:t>–</w:t>
      </w:r>
      <w:r w:rsidRPr="00C97797">
        <w:rPr>
          <w:rFonts w:ascii="Arial" w:hAnsi="Arial" w:cs="Arial"/>
          <w:lang w:val="en-GB"/>
        </w:rPr>
        <w:t xml:space="preserve"> </w:t>
      </w:r>
      <w:r>
        <w:rPr>
          <w:rFonts w:ascii="Arial" w:hAnsi="Arial" w:cs="Arial"/>
          <w:lang w:val="en-GB"/>
        </w:rPr>
        <w:t>Zaštita prirode</w:t>
      </w:r>
    </w:p>
    <w:p w:rsidR="00C97797" w:rsidRPr="00C97797" w:rsidRDefault="00C97797" w:rsidP="00FE4F6C">
      <w:pPr>
        <w:spacing w:after="0"/>
        <w:ind w:left="709"/>
        <w:jc w:val="both"/>
        <w:rPr>
          <w:rFonts w:ascii="Arial" w:hAnsi="Arial" w:cs="Arial"/>
          <w:lang w:val="en-GB"/>
        </w:rPr>
      </w:pPr>
      <w:r w:rsidRPr="00C97797">
        <w:rPr>
          <w:rFonts w:ascii="Arial" w:hAnsi="Arial" w:cs="Arial"/>
          <w:lang w:val="en-GB"/>
        </w:rPr>
        <w:t>Priorit</w:t>
      </w:r>
      <w:r>
        <w:rPr>
          <w:rFonts w:ascii="Arial" w:hAnsi="Arial" w:cs="Arial"/>
          <w:lang w:val="en-GB"/>
        </w:rPr>
        <w:t>et</w:t>
      </w:r>
      <w:r w:rsidRPr="00C97797">
        <w:rPr>
          <w:rFonts w:ascii="Arial" w:hAnsi="Arial" w:cs="Arial"/>
          <w:lang w:val="en-GB"/>
        </w:rPr>
        <w:t xml:space="preserve"> 5 </w:t>
      </w:r>
      <w:r>
        <w:rPr>
          <w:rFonts w:ascii="Arial" w:hAnsi="Arial" w:cs="Arial"/>
          <w:lang w:val="en-GB"/>
        </w:rPr>
        <w:t>–</w:t>
      </w:r>
      <w:r w:rsidRPr="00C97797">
        <w:rPr>
          <w:rFonts w:ascii="Arial" w:hAnsi="Arial" w:cs="Arial"/>
          <w:lang w:val="en-GB"/>
        </w:rPr>
        <w:t xml:space="preserve"> Civil</w:t>
      </w:r>
      <w:r>
        <w:rPr>
          <w:rFonts w:ascii="Arial" w:hAnsi="Arial" w:cs="Arial"/>
          <w:lang w:val="en-GB"/>
        </w:rPr>
        <w:t>na zaštita</w:t>
      </w:r>
    </w:p>
    <w:p w:rsidR="00C97797" w:rsidRDefault="00C97797" w:rsidP="001749A5">
      <w:pPr>
        <w:ind w:firstLine="708"/>
        <w:rPr>
          <w:rFonts w:ascii="Arial" w:hAnsi="Arial" w:cs="Arial"/>
          <w:sz w:val="24"/>
          <w:szCs w:val="24"/>
        </w:rPr>
      </w:pPr>
    </w:p>
    <w:p w:rsidR="00A22829" w:rsidRDefault="00A22829" w:rsidP="00B36D76">
      <w:pPr>
        <w:rPr>
          <w:rFonts w:ascii="Arial" w:hAnsi="Arial" w:cs="Arial"/>
          <w:sz w:val="24"/>
          <w:szCs w:val="24"/>
        </w:rPr>
      </w:pPr>
    </w:p>
    <w:p w:rsidR="006D6FD7" w:rsidRPr="00642357" w:rsidRDefault="006D6FD7" w:rsidP="00642357">
      <w:pPr>
        <w:jc w:val="both"/>
        <w:rPr>
          <w:rFonts w:ascii="Arial" w:hAnsi="Arial" w:cs="Arial"/>
          <w:sz w:val="24"/>
          <w:szCs w:val="24"/>
          <w:lang w:val="en-GB"/>
        </w:rPr>
      </w:pPr>
      <w:r w:rsidRPr="00642357">
        <w:rPr>
          <w:rFonts w:ascii="Arial" w:hAnsi="Arial" w:cs="Arial"/>
          <w:sz w:val="24"/>
          <w:szCs w:val="24"/>
          <w:lang w:val="en-GB"/>
        </w:rPr>
        <w:t xml:space="preserve">Na Federalno ministarstvo okoliša </w:t>
      </w:r>
      <w:r w:rsidR="00642357">
        <w:rPr>
          <w:rFonts w:ascii="Arial" w:hAnsi="Arial" w:cs="Arial"/>
          <w:sz w:val="24"/>
          <w:szCs w:val="24"/>
          <w:lang w:val="en-GB"/>
        </w:rPr>
        <w:t xml:space="preserve">i </w:t>
      </w:r>
      <w:r w:rsidRPr="00642357">
        <w:rPr>
          <w:rFonts w:ascii="Arial" w:hAnsi="Arial" w:cs="Arial"/>
          <w:sz w:val="24"/>
          <w:szCs w:val="24"/>
          <w:lang w:val="en-GB"/>
        </w:rPr>
        <w:t xml:space="preserve">turizma odnosi se Prioritet 3 </w:t>
      </w:r>
      <w:r w:rsidR="00FE4F6C">
        <w:rPr>
          <w:rFonts w:ascii="Arial" w:hAnsi="Arial" w:cs="Arial"/>
          <w:sz w:val="24"/>
          <w:szCs w:val="24"/>
          <w:lang w:val="en-GB"/>
        </w:rPr>
        <w:t>i</w:t>
      </w:r>
      <w:r w:rsidRPr="00642357">
        <w:rPr>
          <w:rFonts w:ascii="Arial" w:hAnsi="Arial" w:cs="Arial"/>
          <w:sz w:val="24"/>
          <w:szCs w:val="24"/>
          <w:lang w:val="en-GB"/>
        </w:rPr>
        <w:t xml:space="preserve"> Prioritet 4. </w:t>
      </w:r>
    </w:p>
    <w:p w:rsidR="006D6FD7" w:rsidRPr="00642357" w:rsidRDefault="006D6FD7" w:rsidP="00642357">
      <w:pPr>
        <w:jc w:val="both"/>
        <w:rPr>
          <w:rFonts w:ascii="Arial" w:hAnsi="Arial" w:cs="Arial"/>
          <w:sz w:val="24"/>
          <w:szCs w:val="24"/>
          <w:u w:val="single"/>
          <w:lang w:val="en-GB"/>
        </w:rPr>
      </w:pPr>
      <w:r w:rsidRPr="00642357">
        <w:rPr>
          <w:rFonts w:ascii="Arial" w:hAnsi="Arial" w:cs="Arial"/>
          <w:sz w:val="24"/>
          <w:szCs w:val="24"/>
          <w:u w:val="single"/>
          <w:lang w:val="en-GB"/>
        </w:rPr>
        <w:t>Prioritet 3.</w:t>
      </w:r>
    </w:p>
    <w:p w:rsidR="006D6FD7" w:rsidRPr="00642357" w:rsidRDefault="006D6FD7" w:rsidP="00642357">
      <w:pPr>
        <w:jc w:val="both"/>
        <w:rPr>
          <w:rFonts w:ascii="Arial" w:hAnsi="Arial" w:cs="Arial"/>
          <w:sz w:val="24"/>
          <w:szCs w:val="24"/>
          <w:lang w:val="en-GB"/>
        </w:rPr>
      </w:pPr>
      <w:r w:rsidRPr="00642357">
        <w:rPr>
          <w:rFonts w:ascii="Arial" w:hAnsi="Arial" w:cs="Arial"/>
          <w:sz w:val="24"/>
          <w:szCs w:val="24"/>
          <w:lang w:val="en-GB"/>
        </w:rPr>
        <w:t xml:space="preserve">CILJ: </w:t>
      </w:r>
      <w:r w:rsidR="00642357" w:rsidRPr="00642357">
        <w:rPr>
          <w:rFonts w:ascii="Arial" w:hAnsi="Arial" w:cs="Arial"/>
          <w:sz w:val="24"/>
          <w:szCs w:val="24"/>
          <w:lang w:val="en-GB"/>
        </w:rPr>
        <w:t xml:space="preserve">Unaprijeđenje upravljanja </w:t>
      </w:r>
      <w:r w:rsidR="00642357" w:rsidRPr="00642357">
        <w:rPr>
          <w:rStyle w:val="tlid-translation"/>
          <w:rFonts w:ascii="Arial" w:hAnsi="Arial" w:cs="Arial"/>
          <w:sz w:val="24"/>
          <w:szCs w:val="24"/>
        </w:rPr>
        <w:t>otpadom prema hijerarhiji otpada u skladu s politikom EU za upravljanje otpadom</w:t>
      </w:r>
    </w:p>
    <w:p w:rsidR="006D6FD7" w:rsidRPr="00642357" w:rsidRDefault="006D6FD7" w:rsidP="00642357">
      <w:pPr>
        <w:jc w:val="both"/>
        <w:rPr>
          <w:rFonts w:ascii="Arial" w:hAnsi="Arial" w:cs="Arial"/>
          <w:sz w:val="24"/>
          <w:szCs w:val="24"/>
          <w:lang w:val="en-GB"/>
        </w:rPr>
      </w:pPr>
      <w:r w:rsidRPr="00642357">
        <w:rPr>
          <w:rFonts w:ascii="Arial" w:hAnsi="Arial" w:cs="Arial"/>
          <w:sz w:val="24"/>
          <w:szCs w:val="24"/>
          <w:lang w:val="en-GB"/>
        </w:rPr>
        <w:t>Očekivani rezultati :</w:t>
      </w:r>
    </w:p>
    <w:p w:rsidR="00642357" w:rsidRPr="00642357" w:rsidRDefault="006D6FD7" w:rsidP="00642357">
      <w:pPr>
        <w:jc w:val="both"/>
        <w:rPr>
          <w:rStyle w:val="tlid-translation"/>
          <w:rFonts w:ascii="Arial" w:hAnsi="Arial" w:cs="Arial"/>
          <w:sz w:val="24"/>
          <w:szCs w:val="24"/>
        </w:rPr>
      </w:pPr>
      <w:r w:rsidRPr="00642357">
        <w:rPr>
          <w:rFonts w:ascii="Arial" w:hAnsi="Arial" w:cs="Arial"/>
          <w:sz w:val="24"/>
          <w:szCs w:val="24"/>
          <w:lang w:val="en-GB"/>
        </w:rPr>
        <w:t>Re</w:t>
      </w:r>
      <w:r w:rsidR="00642357" w:rsidRPr="00642357">
        <w:rPr>
          <w:rFonts w:ascii="Arial" w:hAnsi="Arial" w:cs="Arial"/>
          <w:sz w:val="24"/>
          <w:szCs w:val="24"/>
          <w:lang w:val="en-GB"/>
        </w:rPr>
        <w:t>z</w:t>
      </w:r>
      <w:r w:rsidRPr="00642357">
        <w:rPr>
          <w:rFonts w:ascii="Arial" w:hAnsi="Arial" w:cs="Arial"/>
          <w:sz w:val="24"/>
          <w:szCs w:val="24"/>
          <w:lang w:val="en-GB"/>
        </w:rPr>
        <w:t>ult</w:t>
      </w:r>
      <w:r w:rsidR="00642357" w:rsidRPr="00642357">
        <w:rPr>
          <w:rFonts w:ascii="Arial" w:hAnsi="Arial" w:cs="Arial"/>
          <w:sz w:val="24"/>
          <w:szCs w:val="24"/>
          <w:lang w:val="en-GB"/>
        </w:rPr>
        <w:t>at</w:t>
      </w:r>
      <w:r w:rsidRPr="00642357">
        <w:rPr>
          <w:rFonts w:ascii="Arial" w:hAnsi="Arial" w:cs="Arial"/>
          <w:sz w:val="24"/>
          <w:szCs w:val="24"/>
          <w:lang w:val="en-GB"/>
        </w:rPr>
        <w:t xml:space="preserve"> 1</w:t>
      </w:r>
      <w:r w:rsidRPr="00642357">
        <w:rPr>
          <w:rFonts w:ascii="Arial" w:eastAsia="Times New Roman" w:hAnsi="Arial" w:cs="Arial"/>
          <w:sz w:val="24"/>
          <w:szCs w:val="24"/>
          <w:lang w:val="en-GB"/>
        </w:rPr>
        <w:t xml:space="preserve">: </w:t>
      </w:r>
      <w:r w:rsidR="00642357" w:rsidRPr="00642357">
        <w:rPr>
          <w:rStyle w:val="tlid-translation"/>
          <w:rFonts w:ascii="Arial" w:hAnsi="Arial" w:cs="Arial"/>
          <w:sz w:val="24"/>
          <w:szCs w:val="24"/>
        </w:rPr>
        <w:t>Povećani kapacitet Bosne i Hercegovine za provođenje koncepta upravljanja SWM-om na cirkularnoj ekonomiji</w:t>
      </w:r>
    </w:p>
    <w:p w:rsidR="00642357" w:rsidRPr="00642357" w:rsidRDefault="006D6FD7" w:rsidP="00642357">
      <w:pPr>
        <w:jc w:val="both"/>
        <w:rPr>
          <w:rStyle w:val="tlid-translation"/>
          <w:rFonts w:ascii="Arial" w:hAnsi="Arial" w:cs="Arial"/>
          <w:sz w:val="24"/>
          <w:szCs w:val="24"/>
        </w:rPr>
      </w:pPr>
      <w:r w:rsidRPr="00642357">
        <w:rPr>
          <w:rFonts w:ascii="Arial" w:hAnsi="Arial" w:cs="Arial"/>
          <w:sz w:val="24"/>
          <w:szCs w:val="24"/>
          <w:lang w:val="en-GB"/>
        </w:rPr>
        <w:t>Re</w:t>
      </w:r>
      <w:r w:rsidR="00642357" w:rsidRPr="00642357">
        <w:rPr>
          <w:rFonts w:ascii="Arial" w:hAnsi="Arial" w:cs="Arial"/>
          <w:sz w:val="24"/>
          <w:szCs w:val="24"/>
          <w:lang w:val="en-GB"/>
        </w:rPr>
        <w:t>z</w:t>
      </w:r>
      <w:r w:rsidRPr="00642357">
        <w:rPr>
          <w:rFonts w:ascii="Arial" w:hAnsi="Arial" w:cs="Arial"/>
          <w:sz w:val="24"/>
          <w:szCs w:val="24"/>
          <w:lang w:val="en-GB"/>
        </w:rPr>
        <w:t>ult</w:t>
      </w:r>
      <w:r w:rsidR="00642357" w:rsidRPr="00642357">
        <w:rPr>
          <w:rFonts w:ascii="Arial" w:hAnsi="Arial" w:cs="Arial"/>
          <w:sz w:val="24"/>
          <w:szCs w:val="24"/>
          <w:lang w:val="en-GB"/>
        </w:rPr>
        <w:t>at</w:t>
      </w:r>
      <w:r w:rsidRPr="00642357">
        <w:rPr>
          <w:rFonts w:ascii="Arial" w:hAnsi="Arial" w:cs="Arial"/>
          <w:sz w:val="24"/>
          <w:szCs w:val="24"/>
          <w:lang w:val="en-GB"/>
        </w:rPr>
        <w:t xml:space="preserve"> 2: </w:t>
      </w:r>
      <w:r w:rsidR="00642357" w:rsidRPr="00642357">
        <w:rPr>
          <w:rStyle w:val="tlid-translation"/>
          <w:rFonts w:ascii="Arial" w:hAnsi="Arial" w:cs="Arial"/>
          <w:sz w:val="24"/>
          <w:szCs w:val="24"/>
        </w:rPr>
        <w:t>Povećani kapaciteti Bosne i Hercegovine za upotrebu specifičnih tokova otpada (istrošena vozila, baterije i akumulatori, otpadna ulja, ambalažni otpad, otpad WEEE, rabljene gume, mulj kanalizacije)</w:t>
      </w:r>
    </w:p>
    <w:p w:rsidR="00642357" w:rsidRPr="00642357" w:rsidRDefault="00642357" w:rsidP="00642357">
      <w:pPr>
        <w:jc w:val="both"/>
        <w:rPr>
          <w:rStyle w:val="tlid-translation"/>
          <w:rFonts w:ascii="Arial" w:hAnsi="Arial" w:cs="Arial"/>
          <w:sz w:val="24"/>
          <w:szCs w:val="24"/>
        </w:rPr>
      </w:pPr>
      <w:r w:rsidRPr="00642357">
        <w:rPr>
          <w:rFonts w:ascii="Arial" w:hAnsi="Arial" w:cs="Arial"/>
          <w:sz w:val="24"/>
          <w:szCs w:val="24"/>
          <w:lang w:val="en-GB"/>
        </w:rPr>
        <w:t>Rez</w:t>
      </w:r>
      <w:r w:rsidR="006D6FD7" w:rsidRPr="00642357">
        <w:rPr>
          <w:rFonts w:ascii="Arial" w:hAnsi="Arial" w:cs="Arial"/>
          <w:sz w:val="24"/>
          <w:szCs w:val="24"/>
          <w:lang w:val="en-GB"/>
        </w:rPr>
        <w:t>ult</w:t>
      </w:r>
      <w:r w:rsidRPr="00642357">
        <w:rPr>
          <w:rFonts w:ascii="Arial" w:hAnsi="Arial" w:cs="Arial"/>
          <w:sz w:val="24"/>
          <w:szCs w:val="24"/>
          <w:lang w:val="en-GB"/>
        </w:rPr>
        <w:t>at</w:t>
      </w:r>
      <w:r w:rsidR="006D6FD7" w:rsidRPr="00642357">
        <w:rPr>
          <w:rFonts w:ascii="Arial" w:hAnsi="Arial" w:cs="Arial"/>
          <w:sz w:val="24"/>
          <w:szCs w:val="24"/>
          <w:lang w:val="en-GB"/>
        </w:rPr>
        <w:t xml:space="preserve"> 3: </w:t>
      </w:r>
      <w:r w:rsidRPr="00642357">
        <w:rPr>
          <w:rStyle w:val="tlid-translation"/>
          <w:rFonts w:ascii="Arial" w:hAnsi="Arial" w:cs="Arial"/>
          <w:sz w:val="24"/>
          <w:szCs w:val="24"/>
        </w:rPr>
        <w:t>Podići svijest javnosti o upravljanju čvrstim otpadom</w:t>
      </w:r>
    </w:p>
    <w:p w:rsidR="006D6FD7" w:rsidRPr="00642357" w:rsidRDefault="006D6FD7" w:rsidP="00642357">
      <w:pPr>
        <w:jc w:val="both"/>
        <w:rPr>
          <w:rFonts w:ascii="Arial" w:hAnsi="Arial" w:cs="Arial"/>
          <w:b/>
          <w:bCs/>
          <w:sz w:val="24"/>
          <w:szCs w:val="24"/>
          <w:lang w:val="en-GB"/>
        </w:rPr>
      </w:pPr>
      <w:r w:rsidRPr="00642357">
        <w:rPr>
          <w:rFonts w:ascii="Arial" w:hAnsi="Arial" w:cs="Arial"/>
          <w:sz w:val="24"/>
          <w:szCs w:val="24"/>
          <w:lang w:val="en-GB"/>
        </w:rPr>
        <w:t xml:space="preserve">Aktivnost: </w:t>
      </w:r>
      <w:r w:rsidR="00642357" w:rsidRPr="00642357">
        <w:rPr>
          <w:rStyle w:val="tlid-translation"/>
          <w:rFonts w:ascii="Arial" w:hAnsi="Arial" w:cs="Arial"/>
          <w:sz w:val="24"/>
          <w:szCs w:val="24"/>
        </w:rPr>
        <w:t>Tehnička pomoć Bosni i Hercegovini za upravljanje čvrstim otpadom na bazi cirkularne ekonomije (2020)</w:t>
      </w:r>
    </w:p>
    <w:p w:rsidR="006D6FD7" w:rsidRPr="00642357" w:rsidRDefault="006D6FD7" w:rsidP="006D6FD7">
      <w:pPr>
        <w:spacing w:line="253" w:lineRule="atLeast"/>
        <w:rPr>
          <w:rFonts w:ascii="Arial" w:hAnsi="Arial" w:cs="Arial"/>
          <w:bCs/>
          <w:sz w:val="24"/>
          <w:szCs w:val="24"/>
          <w:u w:val="single"/>
          <w:lang w:val="en-GB"/>
        </w:rPr>
      </w:pPr>
      <w:r w:rsidRPr="00642357">
        <w:rPr>
          <w:rFonts w:ascii="Arial" w:hAnsi="Arial" w:cs="Arial"/>
          <w:bCs/>
          <w:sz w:val="24"/>
          <w:szCs w:val="24"/>
          <w:u w:val="single"/>
          <w:lang w:val="en-GB"/>
        </w:rPr>
        <w:t>Prioritet 4.</w:t>
      </w:r>
    </w:p>
    <w:p w:rsidR="00642357" w:rsidRPr="00642357" w:rsidRDefault="00642357" w:rsidP="00642357">
      <w:pPr>
        <w:spacing w:line="253" w:lineRule="atLeast"/>
        <w:rPr>
          <w:rStyle w:val="tlid-translation"/>
          <w:rFonts w:ascii="Arial" w:hAnsi="Arial" w:cs="Arial"/>
          <w:sz w:val="24"/>
          <w:szCs w:val="24"/>
        </w:rPr>
      </w:pPr>
      <w:r w:rsidRPr="00642357">
        <w:rPr>
          <w:rFonts w:ascii="Arial" w:hAnsi="Arial" w:cs="Arial"/>
          <w:bCs/>
          <w:sz w:val="24"/>
          <w:szCs w:val="24"/>
          <w:lang w:val="en-GB"/>
        </w:rPr>
        <w:t xml:space="preserve">CILJ: </w:t>
      </w:r>
      <w:r w:rsidRPr="00642357">
        <w:rPr>
          <w:rStyle w:val="tlid-translation"/>
          <w:rFonts w:ascii="Arial" w:hAnsi="Arial" w:cs="Arial"/>
          <w:sz w:val="24"/>
          <w:szCs w:val="24"/>
        </w:rPr>
        <w:t>Postizanje bolje zaštite prirode u skladu s pravnom stečevinom EU o prirodi</w:t>
      </w:r>
    </w:p>
    <w:p w:rsidR="00642357" w:rsidRPr="00642357" w:rsidRDefault="006D6FD7" w:rsidP="00642357">
      <w:pPr>
        <w:spacing w:line="253" w:lineRule="atLeast"/>
        <w:rPr>
          <w:rFonts w:ascii="Arial" w:hAnsi="Arial" w:cs="Arial"/>
          <w:sz w:val="24"/>
          <w:szCs w:val="24"/>
          <w:lang w:val="en-GB"/>
        </w:rPr>
      </w:pPr>
      <w:r w:rsidRPr="00642357">
        <w:rPr>
          <w:rFonts w:ascii="Arial" w:hAnsi="Arial" w:cs="Arial"/>
          <w:sz w:val="24"/>
          <w:szCs w:val="24"/>
          <w:lang w:val="en-GB"/>
        </w:rPr>
        <w:t xml:space="preserve">OČEKIVANI REZULTATI: </w:t>
      </w:r>
    </w:p>
    <w:p w:rsidR="00642357" w:rsidRPr="00642357" w:rsidRDefault="006D6FD7" w:rsidP="00642357">
      <w:pPr>
        <w:spacing w:line="253" w:lineRule="atLeast"/>
        <w:rPr>
          <w:rStyle w:val="tlid-translation"/>
          <w:rFonts w:ascii="Arial" w:hAnsi="Arial" w:cs="Arial"/>
          <w:sz w:val="24"/>
          <w:szCs w:val="24"/>
        </w:rPr>
      </w:pPr>
      <w:r w:rsidRPr="00642357">
        <w:rPr>
          <w:rFonts w:ascii="Arial" w:hAnsi="Arial" w:cs="Arial"/>
          <w:sz w:val="24"/>
          <w:szCs w:val="24"/>
          <w:lang w:val="en-GB"/>
        </w:rPr>
        <w:t xml:space="preserve">Result 1: </w:t>
      </w:r>
      <w:r w:rsidR="00642357" w:rsidRPr="00642357">
        <w:rPr>
          <w:rStyle w:val="tlid-translation"/>
          <w:rFonts w:ascii="Arial" w:hAnsi="Arial" w:cs="Arial"/>
          <w:sz w:val="24"/>
          <w:szCs w:val="24"/>
        </w:rPr>
        <w:t xml:space="preserve">Predložene lokacije Natura 2000 u BiH </w:t>
      </w:r>
      <w:r w:rsidR="00FE4F6C" w:rsidRPr="00642357">
        <w:rPr>
          <w:rStyle w:val="tlid-translation"/>
          <w:rFonts w:ascii="Arial" w:hAnsi="Arial" w:cs="Arial"/>
          <w:sz w:val="24"/>
          <w:szCs w:val="24"/>
        </w:rPr>
        <w:t xml:space="preserve">su </w:t>
      </w:r>
      <w:r w:rsidR="00642357" w:rsidRPr="00642357">
        <w:rPr>
          <w:rStyle w:val="tlid-translation"/>
          <w:rFonts w:ascii="Arial" w:hAnsi="Arial" w:cs="Arial"/>
          <w:sz w:val="24"/>
          <w:szCs w:val="24"/>
        </w:rPr>
        <w:t>pregledane i potvrđene na osnovu tačnih podataka dobijenih terenskim istraživanjem</w:t>
      </w:r>
    </w:p>
    <w:p w:rsidR="00642357" w:rsidRPr="00642357" w:rsidRDefault="006D6FD7" w:rsidP="00642357">
      <w:pPr>
        <w:spacing w:line="253" w:lineRule="atLeast"/>
        <w:rPr>
          <w:rStyle w:val="tlid-translation"/>
          <w:rFonts w:ascii="Arial" w:hAnsi="Arial" w:cs="Arial"/>
          <w:sz w:val="24"/>
          <w:szCs w:val="24"/>
        </w:rPr>
      </w:pPr>
      <w:r w:rsidRPr="00642357">
        <w:rPr>
          <w:rFonts w:ascii="Arial" w:hAnsi="Arial" w:cs="Arial"/>
          <w:sz w:val="24"/>
          <w:szCs w:val="24"/>
          <w:lang w:val="en-GB"/>
        </w:rPr>
        <w:t xml:space="preserve">Result 2: </w:t>
      </w:r>
      <w:r w:rsidR="00642357" w:rsidRPr="00642357">
        <w:rPr>
          <w:rStyle w:val="tlid-translation"/>
          <w:rFonts w:ascii="Arial" w:hAnsi="Arial" w:cs="Arial"/>
          <w:sz w:val="24"/>
          <w:szCs w:val="24"/>
        </w:rPr>
        <w:t>Očuvani ekosustavi i njihove usluge u pilot područjima zaštite</w:t>
      </w:r>
    </w:p>
    <w:p w:rsidR="00642357" w:rsidRDefault="006D6FD7" w:rsidP="00642357">
      <w:pPr>
        <w:rPr>
          <w:rFonts w:ascii="Arial" w:eastAsia="Times New Roman" w:hAnsi="Arial" w:cs="Arial"/>
          <w:sz w:val="24"/>
          <w:szCs w:val="24"/>
          <w:lang w:eastAsia="bs-Latn-BA"/>
        </w:rPr>
      </w:pPr>
      <w:r w:rsidRPr="00642357">
        <w:rPr>
          <w:rFonts w:ascii="Arial" w:hAnsi="Arial" w:cs="Arial"/>
          <w:sz w:val="24"/>
          <w:szCs w:val="24"/>
          <w:lang w:val="en-GB"/>
        </w:rPr>
        <w:t xml:space="preserve">Result 3: </w:t>
      </w:r>
      <w:r w:rsidR="00642357" w:rsidRPr="00642357">
        <w:rPr>
          <w:rFonts w:ascii="Arial" w:eastAsia="Times New Roman" w:hAnsi="Arial" w:cs="Arial"/>
          <w:sz w:val="24"/>
          <w:szCs w:val="24"/>
          <w:lang w:eastAsia="bs-Latn-BA"/>
        </w:rPr>
        <w:t>Povećani kapaciteti relevantnih institucija za komunikaciju u zaštiti prirode</w:t>
      </w:r>
      <w:r w:rsidR="00642357">
        <w:rPr>
          <w:rFonts w:ascii="Arial" w:eastAsia="Times New Roman" w:hAnsi="Arial" w:cs="Arial"/>
          <w:sz w:val="24"/>
          <w:szCs w:val="24"/>
          <w:lang w:eastAsia="bs-Latn-BA"/>
        </w:rPr>
        <w:t xml:space="preserve"> </w:t>
      </w:r>
    </w:p>
    <w:p w:rsidR="006D6FD7" w:rsidRPr="00642357" w:rsidRDefault="00642357" w:rsidP="00642357">
      <w:pPr>
        <w:rPr>
          <w:rFonts w:ascii="Arial" w:eastAsia="Times New Roman" w:hAnsi="Arial" w:cs="Arial"/>
          <w:sz w:val="24"/>
          <w:szCs w:val="24"/>
          <w:lang w:eastAsia="bs-Latn-BA"/>
        </w:rPr>
      </w:pPr>
      <w:r>
        <w:rPr>
          <w:rFonts w:ascii="Arial" w:eastAsia="Times New Roman" w:hAnsi="Arial" w:cs="Arial"/>
          <w:sz w:val="24"/>
          <w:szCs w:val="24"/>
          <w:lang w:eastAsia="bs-Latn-BA"/>
        </w:rPr>
        <w:t>Aktivnost:</w:t>
      </w:r>
      <w:r w:rsidRPr="00642357">
        <w:rPr>
          <w:rStyle w:val="tlid-translation"/>
          <w:rFonts w:ascii="Arial" w:hAnsi="Arial" w:cs="Arial"/>
          <w:sz w:val="24"/>
          <w:szCs w:val="24"/>
        </w:rPr>
        <w:t xml:space="preserve">Tehnička pomoć Bosni i Hercegovini za bolju zaštitu prirode </w:t>
      </w: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922A36" w:rsidRDefault="004D1E27" w:rsidP="00922A36">
      <w:pPr>
        <w:ind w:firstLine="708"/>
        <w:rPr>
          <w:rFonts w:ascii="Arial" w:hAnsi="Arial" w:cs="Arial"/>
          <w:sz w:val="24"/>
          <w:szCs w:val="24"/>
        </w:rPr>
      </w:pPr>
      <w:r>
        <w:rPr>
          <w:rFonts w:ascii="Arial" w:hAnsi="Arial" w:cs="Arial"/>
          <w:sz w:val="24"/>
          <w:szCs w:val="24"/>
        </w:rPr>
        <w:lastRenderedPageBreak/>
        <w:t>U skladu sa planiranim bud</w:t>
      </w:r>
      <w:r w:rsidR="00FE4F6C">
        <w:rPr>
          <w:rFonts w:ascii="Arial" w:hAnsi="Arial" w:cs="Arial"/>
          <w:sz w:val="24"/>
          <w:szCs w:val="24"/>
        </w:rPr>
        <w:t>ž</w:t>
      </w:r>
      <w:r>
        <w:rPr>
          <w:rFonts w:ascii="Arial" w:hAnsi="Arial" w:cs="Arial"/>
          <w:sz w:val="24"/>
          <w:szCs w:val="24"/>
        </w:rPr>
        <w:t xml:space="preserve">etom za period 2018-2020 godinu, za upravljanje otpadom i zaštitu prirode u </w:t>
      </w:r>
      <w:r w:rsidRPr="00642357">
        <w:rPr>
          <w:rFonts w:ascii="Arial" w:hAnsi="Arial" w:cs="Arial"/>
          <w:sz w:val="24"/>
          <w:szCs w:val="24"/>
          <w:u w:val="single"/>
        </w:rPr>
        <w:t>2018 godini</w:t>
      </w:r>
      <w:r>
        <w:rPr>
          <w:rFonts w:ascii="Arial" w:hAnsi="Arial" w:cs="Arial"/>
          <w:sz w:val="24"/>
          <w:szCs w:val="24"/>
        </w:rPr>
        <w:t xml:space="preserve"> </w:t>
      </w:r>
      <w:r w:rsidR="00922A36" w:rsidRPr="00642357">
        <w:rPr>
          <w:rFonts w:ascii="Arial" w:hAnsi="Arial" w:cs="Arial"/>
          <w:sz w:val="24"/>
          <w:szCs w:val="24"/>
          <w:u w:val="single"/>
        </w:rPr>
        <w:t>nisu dodijeljena sredstva</w:t>
      </w:r>
      <w:r w:rsidR="00922A36">
        <w:rPr>
          <w:rFonts w:ascii="Arial" w:hAnsi="Arial" w:cs="Arial"/>
          <w:sz w:val="24"/>
          <w:szCs w:val="24"/>
        </w:rPr>
        <w:t>, jer su usmjerena za rješavanje problema sa migrantima.</w:t>
      </w:r>
    </w:p>
    <w:p w:rsidR="007556A7" w:rsidRDefault="00922A36" w:rsidP="00922A36">
      <w:pPr>
        <w:ind w:firstLine="708"/>
        <w:rPr>
          <w:rFonts w:ascii="Arial" w:hAnsi="Arial" w:cs="Arial"/>
          <w:sz w:val="24"/>
          <w:szCs w:val="24"/>
        </w:rPr>
      </w:pPr>
      <w:r>
        <w:rPr>
          <w:rFonts w:ascii="Arial" w:hAnsi="Arial" w:cs="Arial"/>
          <w:sz w:val="24"/>
          <w:szCs w:val="24"/>
        </w:rPr>
        <w:t xml:space="preserve">Za period 2019. i 2020. godinu pripremljen je Akcioni dokument sa prijedlogom za finansiranje </w:t>
      </w:r>
      <w:r w:rsidR="00C9419B">
        <w:rPr>
          <w:rFonts w:ascii="Arial" w:hAnsi="Arial" w:cs="Arial"/>
          <w:sz w:val="24"/>
          <w:szCs w:val="24"/>
        </w:rPr>
        <w:t xml:space="preserve">u vidu </w:t>
      </w:r>
      <w:r w:rsidR="007556A7">
        <w:rPr>
          <w:rFonts w:ascii="Arial" w:hAnsi="Arial" w:cs="Arial"/>
          <w:sz w:val="24"/>
          <w:szCs w:val="24"/>
        </w:rPr>
        <w:t xml:space="preserve">tehničke pomoći za </w:t>
      </w:r>
      <w:r>
        <w:rPr>
          <w:rFonts w:ascii="Arial" w:hAnsi="Arial" w:cs="Arial"/>
          <w:sz w:val="24"/>
          <w:szCs w:val="24"/>
        </w:rPr>
        <w:t>otpad</w:t>
      </w:r>
      <w:r w:rsidR="007556A7">
        <w:rPr>
          <w:rFonts w:ascii="Arial" w:hAnsi="Arial" w:cs="Arial"/>
          <w:sz w:val="24"/>
          <w:szCs w:val="24"/>
        </w:rPr>
        <w:t>.</w:t>
      </w:r>
    </w:p>
    <w:p w:rsidR="007556A7" w:rsidRDefault="007556A7" w:rsidP="00642357">
      <w:pPr>
        <w:pBdr>
          <w:top w:val="double" w:sz="4" w:space="0" w:color="auto"/>
          <w:left w:val="double" w:sz="4" w:space="4" w:color="auto"/>
          <w:bottom w:val="double" w:sz="4" w:space="1" w:color="auto"/>
          <w:right w:val="double" w:sz="4" w:space="4" w:color="auto"/>
        </w:pBdr>
        <w:ind w:firstLine="708"/>
        <w:rPr>
          <w:rFonts w:ascii="Arial" w:hAnsi="Arial" w:cs="Arial"/>
          <w:sz w:val="24"/>
          <w:szCs w:val="24"/>
        </w:rPr>
      </w:pPr>
      <w:r>
        <w:rPr>
          <w:rFonts w:ascii="Arial" w:hAnsi="Arial" w:cs="Arial"/>
          <w:sz w:val="24"/>
          <w:szCs w:val="24"/>
        </w:rPr>
        <w:t>AD je usvojen od stra</w:t>
      </w:r>
      <w:r w:rsidR="00C9419B">
        <w:rPr>
          <w:rFonts w:ascii="Arial" w:hAnsi="Arial" w:cs="Arial"/>
          <w:sz w:val="24"/>
          <w:szCs w:val="24"/>
        </w:rPr>
        <w:t>n</w:t>
      </w:r>
      <w:r>
        <w:rPr>
          <w:rFonts w:ascii="Arial" w:hAnsi="Arial" w:cs="Arial"/>
          <w:sz w:val="24"/>
          <w:szCs w:val="24"/>
        </w:rPr>
        <w:t xml:space="preserve">e Evropske </w:t>
      </w:r>
      <w:r w:rsidR="00642357">
        <w:rPr>
          <w:rFonts w:ascii="Arial" w:hAnsi="Arial" w:cs="Arial"/>
          <w:sz w:val="24"/>
          <w:szCs w:val="24"/>
        </w:rPr>
        <w:t xml:space="preserve">Komisije i za upravljanje otpadom </w:t>
      </w:r>
      <w:r>
        <w:rPr>
          <w:rFonts w:ascii="Arial" w:hAnsi="Arial" w:cs="Arial"/>
          <w:sz w:val="24"/>
          <w:szCs w:val="24"/>
        </w:rPr>
        <w:t xml:space="preserve"> u iznosu od 2,9 mil EUR  za BIH su obuhvaćene slijedeće aktivnosti:</w:t>
      </w:r>
    </w:p>
    <w:p w:rsidR="007556A7" w:rsidRPr="00642357" w:rsidRDefault="007556A7" w:rsidP="00642357">
      <w:pPr>
        <w:pBdr>
          <w:top w:val="double" w:sz="4" w:space="0" w:color="auto"/>
          <w:left w:val="double" w:sz="4" w:space="4" w:color="auto"/>
          <w:bottom w:val="double" w:sz="4" w:space="1" w:color="auto"/>
          <w:right w:val="double" w:sz="4" w:space="4" w:color="auto"/>
        </w:pBdr>
        <w:spacing w:after="240"/>
        <w:rPr>
          <w:rFonts w:ascii="Arial" w:hAnsi="Arial" w:cs="Arial"/>
          <w:lang w:eastAsia="de-DE"/>
        </w:rPr>
      </w:pPr>
      <w:r w:rsidRPr="00642357">
        <w:rPr>
          <w:rStyle w:val="tlid-translation"/>
          <w:rFonts w:ascii="Arial" w:hAnsi="Arial" w:cs="Arial"/>
          <w:b/>
          <w:bCs/>
          <w:lang w:val="hr-HR"/>
        </w:rPr>
        <w:t xml:space="preserve">Aktivnost 3.1. </w:t>
      </w:r>
      <w:r w:rsidRPr="00642357">
        <w:rPr>
          <w:rStyle w:val="tlid-translation"/>
          <w:rFonts w:ascii="Arial" w:hAnsi="Arial" w:cs="Arial"/>
          <w:b/>
          <w:bCs/>
        </w:rPr>
        <w:t>Razvoj političkog i regulatornog okvira</w:t>
      </w:r>
      <w:r w:rsidRPr="00642357">
        <w:rPr>
          <w:rFonts w:ascii="Arial" w:hAnsi="Arial" w:cs="Arial"/>
          <w:b/>
          <w:bCs/>
          <w:lang w:val="hr-HR"/>
        </w:rPr>
        <w:br/>
      </w:r>
      <w:r w:rsidRPr="00642357">
        <w:rPr>
          <w:rStyle w:val="tlid-translation"/>
          <w:rFonts w:ascii="Arial" w:hAnsi="Arial" w:cs="Arial"/>
          <w:lang w:val="hr-HR"/>
        </w:rPr>
        <w:t>Podaktivnost 3.1.1 Tehnička pomoć za daljnje usklađivan</w:t>
      </w:r>
      <w:r w:rsidR="00642357" w:rsidRPr="00642357">
        <w:rPr>
          <w:rStyle w:val="tlid-translation"/>
          <w:rFonts w:ascii="Arial" w:hAnsi="Arial" w:cs="Arial"/>
          <w:lang w:val="hr-HR"/>
        </w:rPr>
        <w:t>je postojećeg zakonodavstva za</w:t>
      </w:r>
      <w:r w:rsidRPr="00642357">
        <w:rPr>
          <w:rStyle w:val="tlid-translation"/>
          <w:rFonts w:ascii="Arial" w:hAnsi="Arial" w:cs="Arial"/>
          <w:lang w:val="hr-HR"/>
        </w:rPr>
        <w:t xml:space="preserve"> cijel</w:t>
      </w:r>
      <w:r w:rsidR="00642357" w:rsidRPr="00642357">
        <w:rPr>
          <w:rStyle w:val="tlid-translation"/>
          <w:rFonts w:ascii="Arial" w:hAnsi="Arial" w:cs="Arial"/>
          <w:lang w:val="hr-HR"/>
        </w:rPr>
        <w:t>u</w:t>
      </w:r>
      <w:r w:rsidRPr="00642357">
        <w:rPr>
          <w:rStyle w:val="tlid-translation"/>
          <w:rFonts w:ascii="Arial" w:hAnsi="Arial" w:cs="Arial"/>
          <w:lang w:val="hr-HR"/>
        </w:rPr>
        <w:t xml:space="preserve"> držav</w:t>
      </w:r>
      <w:r w:rsidR="00642357" w:rsidRPr="00642357">
        <w:rPr>
          <w:rStyle w:val="tlid-translation"/>
          <w:rFonts w:ascii="Arial" w:hAnsi="Arial" w:cs="Arial"/>
          <w:lang w:val="hr-HR"/>
        </w:rPr>
        <w:t>u</w:t>
      </w:r>
      <w:r w:rsidRPr="00642357">
        <w:rPr>
          <w:rStyle w:val="tlid-translation"/>
          <w:rFonts w:ascii="Arial" w:hAnsi="Arial" w:cs="Arial"/>
          <w:lang w:val="hr-HR"/>
        </w:rPr>
        <w:t xml:space="preserve"> s EU paketom otpada</w:t>
      </w:r>
      <w:r w:rsidRPr="00642357">
        <w:rPr>
          <w:rFonts w:ascii="Arial" w:hAnsi="Arial" w:cs="Arial"/>
          <w:lang w:val="hr-HR"/>
        </w:rPr>
        <w:br/>
      </w:r>
      <w:r w:rsidRPr="00642357">
        <w:rPr>
          <w:rStyle w:val="tlid-translation"/>
          <w:rFonts w:ascii="Arial" w:hAnsi="Arial" w:cs="Arial"/>
          <w:lang w:val="hr-HR"/>
        </w:rPr>
        <w:t xml:space="preserve">Podaktivnost 3.1.2 Procjena tržišnog potencijala za primjenu načela kružne ekonomije u </w:t>
      </w:r>
      <w:r w:rsidR="00642357" w:rsidRPr="00642357">
        <w:rPr>
          <w:rStyle w:val="tlid-translation"/>
          <w:rFonts w:ascii="Arial" w:hAnsi="Arial" w:cs="Arial"/>
          <w:lang w:val="hr-HR"/>
        </w:rPr>
        <w:t>upravljanju</w:t>
      </w:r>
      <w:r w:rsidRPr="00642357">
        <w:rPr>
          <w:rStyle w:val="tlid-translation"/>
          <w:rFonts w:ascii="Arial" w:hAnsi="Arial" w:cs="Arial"/>
          <w:lang w:val="hr-HR"/>
        </w:rPr>
        <w:t xml:space="preserve"> posebnim kategorijama otpada</w:t>
      </w:r>
      <w:r w:rsidRPr="00642357">
        <w:rPr>
          <w:rFonts w:ascii="Arial" w:hAnsi="Arial" w:cs="Arial"/>
          <w:lang w:val="hr-HR"/>
        </w:rPr>
        <w:br/>
      </w:r>
      <w:r w:rsidRPr="00642357">
        <w:rPr>
          <w:rStyle w:val="tlid-translation"/>
          <w:rFonts w:ascii="Arial" w:hAnsi="Arial" w:cs="Arial"/>
          <w:lang w:val="hr-HR"/>
        </w:rPr>
        <w:t xml:space="preserve">Podaktivnost 3.1.3 Tehnička pomoć za podršku razvoju politike koja će pogodovati kružnom </w:t>
      </w:r>
      <w:r w:rsidR="00642357" w:rsidRPr="00642357">
        <w:rPr>
          <w:rStyle w:val="tlid-translation"/>
          <w:rFonts w:ascii="Arial" w:hAnsi="Arial" w:cs="Arial"/>
          <w:lang w:val="hr-HR"/>
        </w:rPr>
        <w:t>upravljanju</w:t>
      </w:r>
      <w:r w:rsidRPr="00642357">
        <w:rPr>
          <w:rStyle w:val="tlid-translation"/>
          <w:rFonts w:ascii="Arial" w:hAnsi="Arial" w:cs="Arial"/>
          <w:lang w:val="hr-HR"/>
        </w:rPr>
        <w:t xml:space="preserve">, </w:t>
      </w:r>
      <w:r w:rsidR="00642357" w:rsidRPr="00642357">
        <w:rPr>
          <w:rStyle w:val="tlid-translation"/>
          <w:rFonts w:ascii="Arial" w:hAnsi="Arial" w:cs="Arial"/>
          <w:lang w:val="hr-HR"/>
        </w:rPr>
        <w:t>unaprijediti</w:t>
      </w:r>
      <w:r w:rsidRPr="00642357">
        <w:rPr>
          <w:rStyle w:val="tlid-translation"/>
          <w:rFonts w:ascii="Arial" w:hAnsi="Arial" w:cs="Arial"/>
          <w:lang w:val="hr-HR"/>
        </w:rPr>
        <w:t xml:space="preserve"> i omogućiti ponovno korištenje i recikliranje.</w:t>
      </w:r>
    </w:p>
    <w:p w:rsidR="007556A7" w:rsidRPr="00642357" w:rsidRDefault="007556A7" w:rsidP="00642357">
      <w:pPr>
        <w:pBdr>
          <w:top w:val="double" w:sz="4" w:space="0" w:color="auto"/>
          <w:left w:val="double" w:sz="4" w:space="4" w:color="auto"/>
          <w:bottom w:val="double" w:sz="4" w:space="1" w:color="auto"/>
          <w:right w:val="double" w:sz="4" w:space="4" w:color="auto"/>
        </w:pBdr>
        <w:rPr>
          <w:rStyle w:val="tlid-translation"/>
          <w:rFonts w:ascii="Arial" w:hAnsi="Arial" w:cs="Arial"/>
          <w:lang w:val="hr-HR"/>
        </w:rPr>
      </w:pPr>
      <w:r w:rsidRPr="00642357">
        <w:rPr>
          <w:rStyle w:val="tlid-translation"/>
          <w:rFonts w:ascii="Arial" w:hAnsi="Arial" w:cs="Arial"/>
          <w:b/>
          <w:bCs/>
          <w:lang w:val="hr-HR"/>
        </w:rPr>
        <w:t xml:space="preserve">Aktivnost 3.2. </w:t>
      </w:r>
      <w:r w:rsidRPr="00642357">
        <w:rPr>
          <w:rStyle w:val="tlid-translation"/>
          <w:rFonts w:ascii="Arial" w:hAnsi="Arial" w:cs="Arial"/>
          <w:b/>
          <w:bCs/>
        </w:rPr>
        <w:t xml:space="preserve">Pilot akcija za </w:t>
      </w:r>
      <w:r w:rsidR="00642357" w:rsidRPr="00642357">
        <w:rPr>
          <w:rStyle w:val="tlid-translation"/>
          <w:rFonts w:ascii="Arial" w:hAnsi="Arial" w:cs="Arial"/>
          <w:b/>
          <w:bCs/>
        </w:rPr>
        <w:t>upotrebu</w:t>
      </w:r>
      <w:r w:rsidRPr="00642357">
        <w:rPr>
          <w:rStyle w:val="tlid-translation"/>
          <w:rFonts w:ascii="Arial" w:hAnsi="Arial" w:cs="Arial"/>
          <w:b/>
          <w:bCs/>
        </w:rPr>
        <w:t xml:space="preserve"> i recikliranje otpada</w:t>
      </w:r>
      <w:r w:rsidRPr="00642357">
        <w:rPr>
          <w:rFonts w:ascii="Arial" w:hAnsi="Arial" w:cs="Arial"/>
          <w:lang w:val="hr-HR"/>
        </w:rPr>
        <w:br/>
      </w:r>
      <w:r w:rsidRPr="00642357">
        <w:rPr>
          <w:rStyle w:val="tlid-translation"/>
          <w:rFonts w:ascii="Arial" w:hAnsi="Arial" w:cs="Arial"/>
          <w:lang w:val="hr-HR"/>
        </w:rPr>
        <w:t>Podaktivnost 3.2.1 Jačanje organizacijskih i tehničkih kapaciteta zainteresiranih javnih i privatnih subjekata koji su uključeni u prikupljanje i o</w:t>
      </w:r>
      <w:r w:rsidR="00642357" w:rsidRPr="00642357">
        <w:rPr>
          <w:rStyle w:val="tlid-translation"/>
          <w:rFonts w:ascii="Arial" w:hAnsi="Arial" w:cs="Arial"/>
          <w:lang w:val="hr-HR"/>
        </w:rPr>
        <w:t>bradu otpada kako bi se povećalo</w:t>
      </w:r>
      <w:r w:rsidRPr="00642357">
        <w:rPr>
          <w:rStyle w:val="tlid-translation"/>
          <w:rFonts w:ascii="Arial" w:hAnsi="Arial" w:cs="Arial"/>
          <w:lang w:val="hr-HR"/>
        </w:rPr>
        <w:t xml:space="preserve"> </w:t>
      </w:r>
      <w:r w:rsidR="00642357" w:rsidRPr="00642357">
        <w:rPr>
          <w:rStyle w:val="tlid-translation"/>
          <w:rFonts w:ascii="Arial" w:hAnsi="Arial" w:cs="Arial"/>
          <w:lang w:val="hr-HR"/>
        </w:rPr>
        <w:t>korištenje</w:t>
      </w:r>
      <w:r w:rsidRPr="00642357">
        <w:rPr>
          <w:rStyle w:val="tlid-translation"/>
          <w:rFonts w:ascii="Arial" w:hAnsi="Arial" w:cs="Arial"/>
          <w:lang w:val="hr-HR"/>
        </w:rPr>
        <w:t xml:space="preserve"> otpada kroz inovativno upravljanje vrijednosnim lancem vrijednosti za određene tokove otpada</w:t>
      </w:r>
      <w:r w:rsidRPr="00642357">
        <w:rPr>
          <w:rFonts w:ascii="Arial" w:hAnsi="Arial" w:cs="Arial"/>
          <w:lang w:val="hr-HR"/>
        </w:rPr>
        <w:br/>
      </w:r>
      <w:r w:rsidRPr="00642357">
        <w:rPr>
          <w:rStyle w:val="tlid-translation"/>
          <w:rFonts w:ascii="Arial" w:hAnsi="Arial" w:cs="Arial"/>
          <w:lang w:val="hr-HR"/>
        </w:rPr>
        <w:t>Podaktivnost 3.2.2. Dizajn pilot-akcije za prikupljanje i recikliranje otpada u dva pilot područja u oba entiteta u BiH</w:t>
      </w:r>
    </w:p>
    <w:p w:rsidR="007556A7" w:rsidRPr="007556A7" w:rsidRDefault="007556A7" w:rsidP="00642357">
      <w:pPr>
        <w:pBdr>
          <w:top w:val="double" w:sz="4" w:space="0" w:color="auto"/>
          <w:left w:val="double" w:sz="4" w:space="4" w:color="auto"/>
          <w:bottom w:val="double" w:sz="4" w:space="1" w:color="auto"/>
          <w:right w:val="double" w:sz="4" w:space="4" w:color="auto"/>
        </w:pBdr>
        <w:rPr>
          <w:rStyle w:val="tlid-translation"/>
          <w:rFonts w:ascii="Arial" w:hAnsi="Arial" w:cs="Arial"/>
          <w:highlight w:val="yellow"/>
          <w:lang w:val="hr-HR"/>
        </w:rPr>
      </w:pPr>
    </w:p>
    <w:p w:rsidR="007556A7" w:rsidRPr="00642357" w:rsidRDefault="007556A7" w:rsidP="00642357">
      <w:pPr>
        <w:pBdr>
          <w:top w:val="double" w:sz="4" w:space="0" w:color="auto"/>
          <w:left w:val="double" w:sz="4" w:space="4" w:color="auto"/>
          <w:bottom w:val="double" w:sz="4" w:space="1" w:color="auto"/>
          <w:right w:val="double" w:sz="4" w:space="4" w:color="auto"/>
        </w:pBdr>
        <w:rPr>
          <w:rStyle w:val="tlid-translation"/>
          <w:rFonts w:ascii="Arial" w:hAnsi="Arial" w:cs="Arial"/>
          <w:lang w:val="hr-HR"/>
        </w:rPr>
      </w:pPr>
      <w:r w:rsidRPr="00642357">
        <w:rPr>
          <w:rStyle w:val="tlid-translation"/>
          <w:rFonts w:ascii="Arial" w:hAnsi="Arial" w:cs="Arial"/>
          <w:b/>
          <w:bCs/>
          <w:lang w:val="hr-HR"/>
        </w:rPr>
        <w:t xml:space="preserve">Aktivnost 3.3. </w:t>
      </w:r>
      <w:r w:rsidRPr="00642357">
        <w:rPr>
          <w:rStyle w:val="tlid-translation"/>
          <w:rFonts w:ascii="Arial" w:hAnsi="Arial" w:cs="Arial"/>
          <w:b/>
          <w:bCs/>
        </w:rPr>
        <w:t>Podizanje svijesti</w:t>
      </w:r>
      <w:r w:rsidRPr="00642357">
        <w:rPr>
          <w:rFonts w:ascii="Arial" w:hAnsi="Arial" w:cs="Arial"/>
          <w:b/>
          <w:bCs/>
          <w:lang w:val="hr-HR"/>
        </w:rPr>
        <w:br/>
      </w:r>
      <w:r w:rsidRPr="00642357">
        <w:rPr>
          <w:rStyle w:val="tlid-translation"/>
          <w:rFonts w:ascii="Arial" w:hAnsi="Arial" w:cs="Arial"/>
          <w:lang w:val="hr-HR"/>
        </w:rPr>
        <w:t xml:space="preserve">Podaktivnost 3.3.1. </w:t>
      </w:r>
      <w:r w:rsidRPr="00642357">
        <w:rPr>
          <w:rStyle w:val="tlid-translation"/>
          <w:rFonts w:ascii="Arial" w:hAnsi="Arial" w:cs="Arial"/>
        </w:rPr>
        <w:t>Provedba kampanje za podizanje svijesti širom zemlje</w:t>
      </w:r>
      <w:r w:rsidRPr="00642357">
        <w:rPr>
          <w:rFonts w:ascii="Arial" w:hAnsi="Arial" w:cs="Arial"/>
          <w:lang w:val="hr-HR"/>
        </w:rPr>
        <w:br/>
      </w:r>
      <w:r w:rsidRPr="00642357">
        <w:rPr>
          <w:rStyle w:val="tlid-translation"/>
          <w:rFonts w:ascii="Arial" w:hAnsi="Arial" w:cs="Arial"/>
          <w:lang w:val="hr-HR"/>
        </w:rPr>
        <w:t>Aktivnost će se nadograditi na rezultatima povezanog projekta financiranog od strane SIDA-e (koji provodi Svjetska banka) „Izgradnja dugoročne održivosti za integriranu tehničku pomoć u upravljanju čvrstim otpadom.</w:t>
      </w:r>
    </w:p>
    <w:p w:rsidR="007556A7" w:rsidRPr="007556A7" w:rsidRDefault="007556A7" w:rsidP="00642357">
      <w:pPr>
        <w:pBdr>
          <w:top w:val="double" w:sz="4" w:space="0" w:color="auto"/>
          <w:left w:val="double" w:sz="4" w:space="4" w:color="auto"/>
          <w:bottom w:val="double" w:sz="4" w:space="1" w:color="auto"/>
          <w:right w:val="double" w:sz="4" w:space="4" w:color="auto"/>
        </w:pBdr>
        <w:rPr>
          <w:rStyle w:val="tlid-translation"/>
          <w:rFonts w:ascii="Arial" w:hAnsi="Arial" w:cs="Arial"/>
          <w:highlight w:val="yellow"/>
          <w:lang w:val="hr-HR"/>
        </w:rPr>
      </w:pPr>
    </w:p>
    <w:p w:rsidR="007556A7" w:rsidRPr="007556A7" w:rsidRDefault="007556A7" w:rsidP="00642357">
      <w:pPr>
        <w:pBdr>
          <w:top w:val="double" w:sz="4" w:space="0" w:color="auto"/>
          <w:left w:val="double" w:sz="4" w:space="4" w:color="auto"/>
          <w:bottom w:val="double" w:sz="4" w:space="1" w:color="auto"/>
          <w:right w:val="double" w:sz="4" w:space="4" w:color="auto"/>
        </w:pBdr>
        <w:rPr>
          <w:rStyle w:val="tlid-translation"/>
          <w:rFonts w:ascii="Arial" w:hAnsi="Arial" w:cs="Arial"/>
          <w:lang w:val="hr-HR"/>
        </w:rPr>
      </w:pPr>
      <w:r w:rsidRPr="00642357">
        <w:rPr>
          <w:rStyle w:val="tlid-translation"/>
          <w:rFonts w:ascii="Arial" w:hAnsi="Arial" w:cs="Arial"/>
          <w:lang w:val="hr-HR"/>
        </w:rPr>
        <w:t>Može se računati da je za entitete podjednako podijeljeno, dakle oko 1,45 mil EUR za FBIH u periodu implementacije od 2020-2022.</w:t>
      </w:r>
    </w:p>
    <w:p w:rsidR="007556A7" w:rsidRDefault="007556A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642357" w:rsidRDefault="00642357" w:rsidP="00922A36">
      <w:pPr>
        <w:ind w:firstLine="708"/>
        <w:rPr>
          <w:rFonts w:ascii="Arial" w:hAnsi="Arial" w:cs="Arial"/>
          <w:sz w:val="24"/>
          <w:szCs w:val="24"/>
        </w:rPr>
      </w:pPr>
    </w:p>
    <w:p w:rsidR="002E2049" w:rsidRDefault="00642357" w:rsidP="00642357">
      <w:pPr>
        <w:jc w:val="center"/>
        <w:rPr>
          <w:rFonts w:ascii="Arial" w:hAnsi="Arial" w:cs="Arial"/>
          <w:b/>
          <w:sz w:val="24"/>
          <w:szCs w:val="24"/>
        </w:rPr>
      </w:pPr>
      <w:r w:rsidRPr="00642357">
        <w:rPr>
          <w:rFonts w:ascii="Arial" w:hAnsi="Arial" w:cs="Arial"/>
          <w:b/>
          <w:sz w:val="24"/>
          <w:szCs w:val="24"/>
        </w:rPr>
        <w:lastRenderedPageBreak/>
        <w:t>DIO II: JEDINSTVENA LISTA PRIORITETNIH PROJEKATA BIH ZA SEKTOR OKOLIŠA (SSPP)</w:t>
      </w:r>
    </w:p>
    <w:p w:rsidR="0003229B" w:rsidRDefault="0003229B" w:rsidP="0003229B">
      <w:pPr>
        <w:rPr>
          <w:rStyle w:val="tlid-translation"/>
          <w:rFonts w:ascii="Arial" w:hAnsi="Arial" w:cs="Arial"/>
        </w:rPr>
      </w:pPr>
      <w:r w:rsidRPr="0003229B">
        <w:rPr>
          <w:rFonts w:ascii="Arial" w:hAnsi="Arial" w:cs="Arial"/>
          <w:sz w:val="24"/>
          <w:szCs w:val="24"/>
        </w:rPr>
        <w:t xml:space="preserve">Indikativni strateški dokument ( ISP) je definisao </w:t>
      </w:r>
      <w:r w:rsidRPr="0003229B">
        <w:rPr>
          <w:rStyle w:val="tlid-translation"/>
          <w:rFonts w:ascii="Arial" w:hAnsi="Arial" w:cs="Arial"/>
        </w:rPr>
        <w:t>rezultate koje treba postići uz podršku EU relevantnu za sektorsko programiranje do 2020. godine</w:t>
      </w:r>
      <w:r>
        <w:rPr>
          <w:rStyle w:val="tlid-translation"/>
          <w:rFonts w:ascii="Arial" w:hAnsi="Arial" w:cs="Arial"/>
        </w:rPr>
        <w:t>.</w:t>
      </w:r>
    </w:p>
    <w:p w:rsidR="0003229B" w:rsidRDefault="0003229B" w:rsidP="0003229B">
      <w:pPr>
        <w:rPr>
          <w:rStyle w:val="tlid-translation"/>
          <w:rFonts w:ascii="Arial" w:hAnsi="Arial" w:cs="Arial"/>
          <w:sz w:val="24"/>
          <w:szCs w:val="24"/>
        </w:rPr>
      </w:pPr>
      <w:r>
        <w:rPr>
          <w:rStyle w:val="tlid-translation"/>
          <w:rFonts w:ascii="Arial" w:hAnsi="Arial" w:cs="Arial"/>
          <w:sz w:val="24"/>
          <w:szCs w:val="24"/>
        </w:rPr>
        <w:t>Jedan od prioritetnih rezultata je:</w:t>
      </w:r>
    </w:p>
    <w:p w:rsidR="0003229B" w:rsidRPr="00E825A9" w:rsidRDefault="0003229B" w:rsidP="0003229B">
      <w:pPr>
        <w:pStyle w:val="tableindentlines"/>
        <w:numPr>
          <w:ilvl w:val="0"/>
          <w:numId w:val="4"/>
        </w:numPr>
        <w:spacing w:before="120" w:after="120"/>
        <w:ind w:left="714" w:hanging="357"/>
        <w:jc w:val="both"/>
        <w:rPr>
          <w:rStyle w:val="tlid-translation"/>
          <w:rFonts w:ascii="Arial" w:hAnsi="Arial" w:cs="Arial"/>
          <w:color w:val="auto"/>
          <w:sz w:val="22"/>
          <w:szCs w:val="22"/>
        </w:rPr>
      </w:pPr>
      <w:r>
        <w:rPr>
          <w:rStyle w:val="tlid-translation"/>
          <w:rFonts w:ascii="Arial" w:hAnsi="Arial" w:cs="Arial"/>
        </w:rPr>
        <w:t xml:space="preserve">Izrada i funkcionisanje Jedinstvene liste prioritetnih projekata (SPP) </w:t>
      </w:r>
      <w:r w:rsidRPr="00C82F21">
        <w:rPr>
          <w:rStyle w:val="tlid-translation"/>
          <w:rFonts w:ascii="Arial" w:hAnsi="Arial" w:cs="Arial"/>
        </w:rPr>
        <w:t xml:space="preserve">za identificiranje prioritetnih investicija u </w:t>
      </w:r>
      <w:r>
        <w:rPr>
          <w:rStyle w:val="tlid-translation"/>
          <w:rFonts w:ascii="Arial" w:hAnsi="Arial" w:cs="Arial"/>
        </w:rPr>
        <w:t xml:space="preserve">oblasti </w:t>
      </w:r>
      <w:r w:rsidRPr="00C82F21">
        <w:rPr>
          <w:rStyle w:val="tlid-translation"/>
          <w:rFonts w:ascii="Arial" w:hAnsi="Arial" w:cs="Arial"/>
        </w:rPr>
        <w:t>vod</w:t>
      </w:r>
      <w:r>
        <w:rPr>
          <w:rStyle w:val="tlid-translation"/>
          <w:rFonts w:ascii="Arial" w:hAnsi="Arial" w:cs="Arial"/>
        </w:rPr>
        <w:t>a</w:t>
      </w:r>
      <w:r w:rsidRPr="00C82F21">
        <w:rPr>
          <w:rStyle w:val="tlid-translation"/>
          <w:rFonts w:ascii="Arial" w:hAnsi="Arial" w:cs="Arial"/>
        </w:rPr>
        <w:t>, upravljanje otpadom, industrijske emisije, kvalitet</w:t>
      </w:r>
      <w:r>
        <w:rPr>
          <w:rStyle w:val="tlid-translation"/>
          <w:rFonts w:ascii="Arial" w:hAnsi="Arial" w:cs="Arial"/>
        </w:rPr>
        <w:t>u</w:t>
      </w:r>
      <w:r w:rsidRPr="00C82F21">
        <w:rPr>
          <w:rStyle w:val="tlid-translation"/>
          <w:rFonts w:ascii="Arial" w:hAnsi="Arial" w:cs="Arial"/>
        </w:rPr>
        <w:t xml:space="preserve"> zraka, zaštit</w:t>
      </w:r>
      <w:r>
        <w:rPr>
          <w:rStyle w:val="tlid-translation"/>
          <w:rFonts w:ascii="Arial" w:hAnsi="Arial" w:cs="Arial"/>
        </w:rPr>
        <w:t>e</w:t>
      </w:r>
      <w:r w:rsidRPr="00C82F21">
        <w:rPr>
          <w:rStyle w:val="tlid-translation"/>
          <w:rFonts w:ascii="Arial" w:hAnsi="Arial" w:cs="Arial"/>
        </w:rPr>
        <w:t xml:space="preserve"> prirode, klimatsk</w:t>
      </w:r>
      <w:r>
        <w:rPr>
          <w:rStyle w:val="tlid-translation"/>
          <w:rFonts w:ascii="Arial" w:hAnsi="Arial" w:cs="Arial"/>
        </w:rPr>
        <w:t>ih</w:t>
      </w:r>
      <w:r w:rsidRPr="00C82F21">
        <w:rPr>
          <w:rStyle w:val="tlid-translation"/>
          <w:rFonts w:ascii="Arial" w:hAnsi="Arial" w:cs="Arial"/>
        </w:rPr>
        <w:t xml:space="preserve"> promjene kao i energetski sektor (uzima</w:t>
      </w:r>
      <w:r>
        <w:rPr>
          <w:rStyle w:val="tlid-translation"/>
          <w:rFonts w:ascii="Arial" w:hAnsi="Arial" w:cs="Arial"/>
        </w:rPr>
        <w:t xml:space="preserve">jući </w:t>
      </w:r>
      <w:r w:rsidRPr="00C82F21">
        <w:rPr>
          <w:rStyle w:val="tlid-translation"/>
          <w:rFonts w:ascii="Arial" w:hAnsi="Arial" w:cs="Arial"/>
        </w:rPr>
        <w:t xml:space="preserve"> u obzir za </w:t>
      </w:r>
      <w:r>
        <w:rPr>
          <w:rStyle w:val="tlid-translation"/>
          <w:rFonts w:ascii="Arial" w:hAnsi="Arial" w:cs="Arial"/>
        </w:rPr>
        <w:t>kombinovanje</w:t>
      </w:r>
      <w:r w:rsidRPr="00C82F21">
        <w:rPr>
          <w:rStyle w:val="tlid-translation"/>
          <w:rFonts w:ascii="Arial" w:hAnsi="Arial" w:cs="Arial"/>
        </w:rPr>
        <w:t xml:space="preserve"> bespovratnih sredstava IPA II sa IFI kreditima).</w:t>
      </w:r>
    </w:p>
    <w:p w:rsidR="00E825A9" w:rsidRDefault="00E825A9" w:rsidP="00E825A9">
      <w:pPr>
        <w:pStyle w:val="tableindentlines"/>
        <w:spacing w:before="120" w:after="120"/>
        <w:jc w:val="both"/>
        <w:rPr>
          <w:rStyle w:val="tlid-translation"/>
          <w:rFonts w:ascii="Arial" w:hAnsi="Arial" w:cs="Arial"/>
        </w:rPr>
      </w:pPr>
    </w:p>
    <w:p w:rsidR="00E825A9" w:rsidRPr="00E825A9" w:rsidRDefault="00E825A9" w:rsidP="00E825A9">
      <w:pPr>
        <w:pStyle w:val="tableindentlines"/>
        <w:spacing w:before="120" w:after="120"/>
        <w:jc w:val="both"/>
        <w:rPr>
          <w:rStyle w:val="tlid-translation"/>
          <w:rFonts w:ascii="Arial" w:hAnsi="Arial" w:cs="Arial"/>
          <w:szCs w:val="24"/>
        </w:rPr>
      </w:pPr>
      <w:r w:rsidRPr="00E825A9">
        <w:rPr>
          <w:rStyle w:val="tlid-translation"/>
          <w:rFonts w:ascii="Arial" w:hAnsi="Arial" w:cs="Arial"/>
          <w:szCs w:val="24"/>
        </w:rPr>
        <w:t xml:space="preserve">Obrazloženje: </w:t>
      </w:r>
    </w:p>
    <w:p w:rsidR="00E825A9" w:rsidRPr="00E825A9" w:rsidRDefault="00E825A9" w:rsidP="00E825A9">
      <w:pPr>
        <w:pStyle w:val="tableindentlines"/>
        <w:spacing w:before="120" w:after="120"/>
        <w:jc w:val="both"/>
        <w:rPr>
          <w:rStyle w:val="tlid-translation"/>
          <w:rFonts w:ascii="Arial" w:hAnsi="Arial" w:cs="Arial"/>
          <w:color w:val="auto"/>
          <w:szCs w:val="24"/>
        </w:rPr>
      </w:pPr>
      <w:r w:rsidRPr="00E825A9">
        <w:rPr>
          <w:rStyle w:val="tlid-translation"/>
          <w:rFonts w:ascii="Arial" w:hAnsi="Arial" w:cs="Arial"/>
          <w:color w:val="auto"/>
          <w:szCs w:val="24"/>
        </w:rPr>
        <w:t>Svi projekti koji se u narednom period budu finansirali od strane kreditora ili donatora moraju biti na ovoj Jedinstvenoj listi prioritetnih projekata BIH za sektor okoliša</w:t>
      </w:r>
    </w:p>
    <w:p w:rsidR="00E825A9" w:rsidRDefault="00E825A9" w:rsidP="0003229B">
      <w:pPr>
        <w:rPr>
          <w:rStyle w:val="tlid-translation"/>
          <w:rFonts w:ascii="Arial" w:hAnsi="Arial" w:cs="Arial"/>
          <w:sz w:val="24"/>
          <w:szCs w:val="24"/>
        </w:rPr>
      </w:pPr>
      <w:r>
        <w:rPr>
          <w:rStyle w:val="tlid-translation"/>
          <w:rFonts w:ascii="Arial" w:hAnsi="Arial" w:cs="Arial"/>
          <w:sz w:val="24"/>
          <w:szCs w:val="24"/>
        </w:rPr>
        <w:t>Također, svi projekti koji su na listi moraju biti u Programu javnih investicija.</w:t>
      </w:r>
    </w:p>
    <w:p w:rsidR="0003229B" w:rsidRDefault="0003229B" w:rsidP="0003229B">
      <w:pPr>
        <w:rPr>
          <w:rStyle w:val="tlid-translation"/>
          <w:rFonts w:ascii="Arial" w:hAnsi="Arial" w:cs="Arial"/>
          <w:sz w:val="24"/>
          <w:szCs w:val="24"/>
        </w:rPr>
      </w:pPr>
      <w:r>
        <w:rPr>
          <w:rStyle w:val="tlid-translation"/>
          <w:rFonts w:ascii="Arial" w:hAnsi="Arial" w:cs="Arial"/>
          <w:sz w:val="24"/>
          <w:szCs w:val="24"/>
        </w:rPr>
        <w:t xml:space="preserve">Aktivnosti Sektorske radne grupe na izradi SSPP za okoliš su pokrenuti u oktobru 2018. godine. U skladu sa smjernicama, usklađenim sa svim donatorima, definisani su formati projektnih prijedloga, kriteriji za ocjenu i rangiranje prioriteta. </w:t>
      </w:r>
    </w:p>
    <w:p w:rsidR="0003229B" w:rsidRDefault="0003229B" w:rsidP="0003229B">
      <w:pPr>
        <w:rPr>
          <w:rStyle w:val="tlid-translation"/>
          <w:rFonts w:ascii="Arial" w:hAnsi="Arial" w:cs="Arial"/>
          <w:sz w:val="24"/>
          <w:szCs w:val="24"/>
        </w:rPr>
      </w:pPr>
      <w:r>
        <w:rPr>
          <w:rStyle w:val="tlid-translation"/>
          <w:rFonts w:ascii="Arial" w:hAnsi="Arial" w:cs="Arial"/>
          <w:sz w:val="24"/>
          <w:szCs w:val="24"/>
        </w:rPr>
        <w:t>U koordinaciji sa svim Kantonima u Federaciji BIH, Federalno ministarstvo okoliša i turizma je definisalo listu prioritetnih projekata iz oblasti otpada i svi su prihvaćeni.</w:t>
      </w:r>
    </w:p>
    <w:p w:rsidR="00E825A9" w:rsidRDefault="0003229B" w:rsidP="0003229B">
      <w:pPr>
        <w:rPr>
          <w:rStyle w:val="tlid-translation"/>
          <w:rFonts w:ascii="Arial" w:hAnsi="Arial" w:cs="Arial"/>
          <w:sz w:val="24"/>
          <w:szCs w:val="24"/>
        </w:rPr>
      </w:pPr>
      <w:r>
        <w:rPr>
          <w:rStyle w:val="tlid-translation"/>
          <w:rFonts w:ascii="Arial" w:hAnsi="Arial" w:cs="Arial"/>
          <w:sz w:val="24"/>
          <w:szCs w:val="24"/>
        </w:rPr>
        <w:t>Jedinstvena lista prioritetnih projekata Bosne i Hercegovine za sektor OKOLIŠA je usvo</w:t>
      </w:r>
      <w:r w:rsidR="00600411">
        <w:rPr>
          <w:rStyle w:val="tlid-translation"/>
          <w:rFonts w:ascii="Arial" w:hAnsi="Arial" w:cs="Arial"/>
          <w:sz w:val="24"/>
          <w:szCs w:val="24"/>
        </w:rPr>
        <w:t>j</w:t>
      </w:r>
      <w:r>
        <w:rPr>
          <w:rStyle w:val="tlid-translation"/>
          <w:rFonts w:ascii="Arial" w:hAnsi="Arial" w:cs="Arial"/>
          <w:sz w:val="24"/>
          <w:szCs w:val="24"/>
        </w:rPr>
        <w:t>ena od strane entitetskih vlada</w:t>
      </w:r>
      <w:r w:rsidR="00600411">
        <w:rPr>
          <w:rStyle w:val="tlid-translation"/>
          <w:rFonts w:ascii="Arial" w:hAnsi="Arial" w:cs="Arial"/>
          <w:sz w:val="24"/>
          <w:szCs w:val="24"/>
        </w:rPr>
        <w:t xml:space="preserve"> i </w:t>
      </w:r>
      <w:r w:rsidR="00E825A9">
        <w:rPr>
          <w:rStyle w:val="tlid-translation"/>
          <w:rFonts w:ascii="Arial" w:hAnsi="Arial" w:cs="Arial"/>
          <w:sz w:val="24"/>
          <w:szCs w:val="24"/>
        </w:rPr>
        <w:t>Državnog odbora za investicije ( NIK)</w:t>
      </w:r>
      <w:r>
        <w:rPr>
          <w:rStyle w:val="tlid-translation"/>
          <w:rFonts w:ascii="Arial" w:hAnsi="Arial" w:cs="Arial"/>
          <w:sz w:val="24"/>
          <w:szCs w:val="24"/>
        </w:rPr>
        <w:t xml:space="preserve"> </w:t>
      </w:r>
      <w:r w:rsidR="00E825A9">
        <w:rPr>
          <w:rStyle w:val="tlid-translation"/>
          <w:rFonts w:ascii="Arial" w:hAnsi="Arial" w:cs="Arial"/>
          <w:sz w:val="24"/>
          <w:szCs w:val="24"/>
        </w:rPr>
        <w:t xml:space="preserve"> 26. februara 2019. godine. ( lista SSPP 2019 u prilogu)</w:t>
      </w:r>
    </w:p>
    <w:p w:rsidR="00E825A9" w:rsidRDefault="00E825A9" w:rsidP="0003229B">
      <w:pPr>
        <w:rPr>
          <w:rStyle w:val="tlid-translation"/>
          <w:rFonts w:ascii="Arial" w:hAnsi="Arial" w:cs="Arial"/>
          <w:sz w:val="24"/>
          <w:szCs w:val="24"/>
        </w:rPr>
      </w:pPr>
    </w:p>
    <w:p w:rsidR="00E825A9" w:rsidRDefault="00E825A9" w:rsidP="0003229B">
      <w:pPr>
        <w:rPr>
          <w:rStyle w:val="tlid-translation"/>
          <w:rFonts w:ascii="Arial" w:hAnsi="Arial" w:cs="Arial"/>
          <w:sz w:val="24"/>
          <w:szCs w:val="24"/>
        </w:rPr>
      </w:pPr>
      <w:r>
        <w:rPr>
          <w:rStyle w:val="tlid-translation"/>
          <w:rFonts w:ascii="Arial" w:hAnsi="Arial" w:cs="Arial"/>
          <w:sz w:val="24"/>
          <w:szCs w:val="24"/>
        </w:rPr>
        <w:t>Trenutni status:</w:t>
      </w:r>
    </w:p>
    <w:p w:rsidR="00E825A9" w:rsidRDefault="00E825A9" w:rsidP="0003229B">
      <w:pPr>
        <w:rPr>
          <w:rStyle w:val="tlid-translation"/>
          <w:rFonts w:ascii="Arial" w:hAnsi="Arial" w:cs="Arial"/>
          <w:sz w:val="24"/>
          <w:szCs w:val="24"/>
        </w:rPr>
      </w:pPr>
      <w:r>
        <w:rPr>
          <w:rStyle w:val="tlid-translation"/>
          <w:rFonts w:ascii="Arial" w:hAnsi="Arial" w:cs="Arial"/>
          <w:sz w:val="24"/>
          <w:szCs w:val="24"/>
        </w:rPr>
        <w:t>Zbog uključivanja velikih projekata koji se finansiraju od strane kreditora i donatora ( Svjetske Banke, EBRD, EIB; KFW i WBIF), a koji se nisu nalazili na Jedinstvenoj listi SSPP, pokrenuta je procedura revizije Jedinstvene liste.</w:t>
      </w:r>
    </w:p>
    <w:p w:rsidR="00E825A9" w:rsidRDefault="00E825A9" w:rsidP="0003229B">
      <w:pPr>
        <w:rPr>
          <w:rStyle w:val="tlid-translation"/>
          <w:rFonts w:ascii="Arial" w:hAnsi="Arial" w:cs="Arial"/>
          <w:sz w:val="24"/>
          <w:szCs w:val="24"/>
        </w:rPr>
      </w:pPr>
      <w:r>
        <w:rPr>
          <w:rStyle w:val="tlid-translation"/>
          <w:rFonts w:ascii="Arial" w:hAnsi="Arial" w:cs="Arial"/>
          <w:sz w:val="24"/>
          <w:szCs w:val="24"/>
        </w:rPr>
        <w:t xml:space="preserve">Očekujemo da se revidovana lista SSPP usvoji u martu 2020. </w:t>
      </w:r>
    </w:p>
    <w:p w:rsidR="0003229B" w:rsidRPr="0003229B" w:rsidRDefault="0003229B" w:rsidP="0003229B">
      <w:pPr>
        <w:rPr>
          <w:rStyle w:val="tlid-translation"/>
          <w:rFonts w:ascii="Arial" w:hAnsi="Arial" w:cs="Arial"/>
          <w:sz w:val="24"/>
          <w:szCs w:val="24"/>
        </w:rPr>
      </w:pPr>
      <w:r>
        <w:rPr>
          <w:rStyle w:val="tlid-translation"/>
          <w:rFonts w:ascii="Arial" w:hAnsi="Arial" w:cs="Arial"/>
          <w:sz w:val="24"/>
          <w:szCs w:val="24"/>
        </w:rPr>
        <w:t xml:space="preserve"> </w:t>
      </w:r>
    </w:p>
    <w:p w:rsidR="0003229B" w:rsidRPr="00642357" w:rsidRDefault="0003229B" w:rsidP="0003229B">
      <w:pPr>
        <w:rPr>
          <w:rFonts w:ascii="Arial" w:hAnsi="Arial" w:cs="Arial"/>
          <w:b/>
          <w:sz w:val="24"/>
          <w:szCs w:val="24"/>
        </w:rPr>
      </w:pPr>
      <w:r>
        <w:rPr>
          <w:rFonts w:ascii="Arial" w:hAnsi="Arial" w:cs="Arial"/>
          <w:b/>
          <w:sz w:val="24"/>
          <w:szCs w:val="24"/>
        </w:rPr>
        <w:t xml:space="preserve"> </w:t>
      </w:r>
    </w:p>
    <w:sectPr w:rsidR="0003229B" w:rsidRPr="00642357" w:rsidSect="008178A3">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72" w:rsidRDefault="009C5272" w:rsidP="008371AD">
      <w:pPr>
        <w:spacing w:after="0" w:line="240" w:lineRule="auto"/>
      </w:pPr>
      <w:r>
        <w:separator/>
      </w:r>
    </w:p>
  </w:endnote>
  <w:endnote w:type="continuationSeparator" w:id="0">
    <w:p w:rsidR="009C5272" w:rsidRDefault="009C5272" w:rsidP="0083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72" w:rsidRDefault="009C5272" w:rsidP="008371AD">
      <w:pPr>
        <w:spacing w:after="0" w:line="240" w:lineRule="auto"/>
      </w:pPr>
      <w:r>
        <w:separator/>
      </w:r>
    </w:p>
  </w:footnote>
  <w:footnote w:type="continuationSeparator" w:id="0">
    <w:p w:rsidR="009C5272" w:rsidRDefault="009C5272" w:rsidP="0083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3B18"/>
    <w:multiLevelType w:val="hybridMultilevel"/>
    <w:tmpl w:val="0E902906"/>
    <w:lvl w:ilvl="0" w:tplc="17069FB8">
      <w:start w:val="1"/>
      <w:numFmt w:val="bullet"/>
      <w:lvlText w:val=""/>
      <w:lvlJc w:val="left"/>
      <w:pPr>
        <w:ind w:left="720" w:hanging="360"/>
      </w:pPr>
      <w:rPr>
        <w:rFonts w:ascii="Symbol" w:hAnsi="Symbol" w:hint="default"/>
        <w:b/>
        <w:i w:val="0"/>
        <w:color w:val="auto"/>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97EC9"/>
    <w:multiLevelType w:val="multilevel"/>
    <w:tmpl w:val="86F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E2D43"/>
    <w:multiLevelType w:val="multilevel"/>
    <w:tmpl w:val="E3CEE2D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59C5902"/>
    <w:multiLevelType w:val="hybridMultilevel"/>
    <w:tmpl w:val="F49830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3"/>
    <w:rsid w:val="00003DC3"/>
    <w:rsid w:val="0003229B"/>
    <w:rsid w:val="000D5F9A"/>
    <w:rsid w:val="001749A5"/>
    <w:rsid w:val="002B11DF"/>
    <w:rsid w:val="002E2049"/>
    <w:rsid w:val="0047447A"/>
    <w:rsid w:val="004D1E27"/>
    <w:rsid w:val="00536A48"/>
    <w:rsid w:val="00600411"/>
    <w:rsid w:val="00642357"/>
    <w:rsid w:val="006739C6"/>
    <w:rsid w:val="006A6351"/>
    <w:rsid w:val="006D44C5"/>
    <w:rsid w:val="006D6FD7"/>
    <w:rsid w:val="006F519D"/>
    <w:rsid w:val="007556A7"/>
    <w:rsid w:val="00787C89"/>
    <w:rsid w:val="008178A3"/>
    <w:rsid w:val="008371AD"/>
    <w:rsid w:val="00922A36"/>
    <w:rsid w:val="009C5272"/>
    <w:rsid w:val="00A22829"/>
    <w:rsid w:val="00B36D76"/>
    <w:rsid w:val="00C82F21"/>
    <w:rsid w:val="00C9419B"/>
    <w:rsid w:val="00C97797"/>
    <w:rsid w:val="00CC247B"/>
    <w:rsid w:val="00E0319D"/>
    <w:rsid w:val="00E524F5"/>
    <w:rsid w:val="00E825A9"/>
    <w:rsid w:val="00EE3BD7"/>
    <w:rsid w:val="00FE4F6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889F"/>
  <w15:chartTrackingRefBased/>
  <w15:docId w15:val="{24A34D88-B4F7-4642-A706-57DBFBF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049"/>
    <w:pPr>
      <w:keepNext/>
      <w:numPr>
        <w:numId w:val="3"/>
      </w:numPr>
      <w:autoSpaceDE w:val="0"/>
      <w:autoSpaceDN w:val="0"/>
      <w:adjustRightInd w:val="0"/>
      <w:spacing w:after="120" w:line="240" w:lineRule="auto"/>
      <w:jc w:val="both"/>
      <w:outlineLvl w:val="0"/>
    </w:pPr>
    <w:rPr>
      <w:rFonts w:ascii="Arial" w:eastAsia="Times New Roman" w:hAnsi="Arial" w:cs="Arial"/>
      <w:b/>
      <w:bCs/>
      <w:caps/>
      <w:sz w:val="24"/>
      <w:szCs w:val="24"/>
      <w:lang w:val="en-GB" w:eastAsia="en-GB"/>
    </w:rPr>
  </w:style>
  <w:style w:type="paragraph" w:styleId="Heading3">
    <w:name w:val="heading 3"/>
    <w:basedOn w:val="Normal"/>
    <w:next w:val="Normal"/>
    <w:link w:val="Heading3Char"/>
    <w:uiPriority w:val="9"/>
    <w:qFormat/>
    <w:rsid w:val="002E2049"/>
    <w:pPr>
      <w:keepNext/>
      <w:keepLines/>
      <w:numPr>
        <w:ilvl w:val="2"/>
        <w:numId w:val="3"/>
      </w:numPr>
      <w:spacing w:before="120" w:after="120" w:line="240" w:lineRule="auto"/>
      <w:jc w:val="both"/>
      <w:outlineLvl w:val="2"/>
    </w:pPr>
    <w:rPr>
      <w:rFonts w:ascii="Arial" w:eastAsia="Times New Roman" w:hAnsi="Arial" w:cs="Arial"/>
      <w:b/>
      <w:bCs/>
      <w:i/>
      <w:sz w:val="24"/>
      <w:szCs w:val="24"/>
      <w:lang w:val="en-GB" w:eastAsia="en-GB"/>
    </w:rPr>
  </w:style>
  <w:style w:type="paragraph" w:styleId="Heading4">
    <w:name w:val="heading 4"/>
    <w:basedOn w:val="Normal"/>
    <w:next w:val="Normal"/>
    <w:link w:val="Heading4Char"/>
    <w:uiPriority w:val="9"/>
    <w:qFormat/>
    <w:rsid w:val="002E2049"/>
    <w:pPr>
      <w:keepNext/>
      <w:keepLines/>
      <w:numPr>
        <w:ilvl w:val="3"/>
        <w:numId w:val="3"/>
      </w:numPr>
      <w:spacing w:before="200" w:after="0" w:line="240" w:lineRule="auto"/>
      <w:jc w:val="both"/>
      <w:outlineLvl w:val="3"/>
    </w:pPr>
    <w:rPr>
      <w:rFonts w:ascii="Cambria" w:eastAsia="Times New Roman" w:hAnsi="Cambria" w:cs="Times New Roman"/>
      <w:b/>
      <w:bCs/>
      <w:i/>
      <w:iCs/>
      <w:color w:val="2DA2BF"/>
      <w:sz w:val="24"/>
      <w:szCs w:val="24"/>
      <w:lang w:val="en-GB" w:eastAsia="en-GB"/>
    </w:rPr>
  </w:style>
  <w:style w:type="paragraph" w:styleId="Heading5">
    <w:name w:val="heading 5"/>
    <w:basedOn w:val="Normal"/>
    <w:next w:val="Normal"/>
    <w:link w:val="Heading5Char"/>
    <w:uiPriority w:val="9"/>
    <w:qFormat/>
    <w:rsid w:val="002E2049"/>
    <w:pPr>
      <w:keepNext/>
      <w:keepLines/>
      <w:numPr>
        <w:ilvl w:val="4"/>
        <w:numId w:val="3"/>
      </w:numPr>
      <w:spacing w:before="200" w:after="0" w:line="240" w:lineRule="auto"/>
      <w:jc w:val="both"/>
      <w:outlineLvl w:val="4"/>
    </w:pPr>
    <w:rPr>
      <w:rFonts w:ascii="Cambria" w:eastAsia="Times New Roman" w:hAnsi="Cambria" w:cs="Times New Roman"/>
      <w:color w:val="16505E"/>
      <w:sz w:val="24"/>
      <w:szCs w:val="24"/>
      <w:lang w:val="en-GB" w:eastAsia="en-GB"/>
    </w:rPr>
  </w:style>
  <w:style w:type="paragraph" w:styleId="Heading6">
    <w:name w:val="heading 6"/>
    <w:basedOn w:val="Normal"/>
    <w:next w:val="Normal"/>
    <w:link w:val="Heading6Char"/>
    <w:uiPriority w:val="9"/>
    <w:qFormat/>
    <w:rsid w:val="002E2049"/>
    <w:pPr>
      <w:keepNext/>
      <w:keepLines/>
      <w:numPr>
        <w:ilvl w:val="5"/>
        <w:numId w:val="3"/>
      </w:numPr>
      <w:spacing w:before="200" w:after="0" w:line="240" w:lineRule="auto"/>
      <w:jc w:val="both"/>
      <w:outlineLvl w:val="5"/>
    </w:pPr>
    <w:rPr>
      <w:rFonts w:ascii="Cambria" w:eastAsia="Times New Roman" w:hAnsi="Cambria" w:cs="Times New Roman"/>
      <w:i/>
      <w:iCs/>
      <w:color w:val="16505E"/>
      <w:sz w:val="24"/>
      <w:szCs w:val="24"/>
      <w:lang w:val="en-GB" w:eastAsia="en-GB"/>
    </w:rPr>
  </w:style>
  <w:style w:type="paragraph" w:styleId="Heading7">
    <w:name w:val="heading 7"/>
    <w:basedOn w:val="Normal"/>
    <w:next w:val="Normal"/>
    <w:link w:val="Heading7Char"/>
    <w:uiPriority w:val="9"/>
    <w:qFormat/>
    <w:rsid w:val="002E2049"/>
    <w:pPr>
      <w:keepNext/>
      <w:keepLines/>
      <w:numPr>
        <w:ilvl w:val="6"/>
        <w:numId w:val="3"/>
      </w:numPr>
      <w:spacing w:before="200" w:after="0" w:line="240" w:lineRule="auto"/>
      <w:jc w:val="both"/>
      <w:outlineLvl w:val="6"/>
    </w:pPr>
    <w:rPr>
      <w:rFonts w:ascii="Cambria" w:eastAsia="Times New Roman" w:hAnsi="Cambria" w:cs="Times New Roman"/>
      <w:i/>
      <w:iCs/>
      <w:color w:val="404040"/>
      <w:sz w:val="24"/>
      <w:szCs w:val="24"/>
      <w:lang w:val="en-GB" w:eastAsia="en-GB"/>
    </w:rPr>
  </w:style>
  <w:style w:type="paragraph" w:styleId="Heading8">
    <w:name w:val="heading 8"/>
    <w:basedOn w:val="Normal"/>
    <w:next w:val="Normal"/>
    <w:link w:val="Heading8Char"/>
    <w:uiPriority w:val="9"/>
    <w:qFormat/>
    <w:rsid w:val="002E2049"/>
    <w:pPr>
      <w:keepNext/>
      <w:keepLines/>
      <w:numPr>
        <w:ilvl w:val="7"/>
        <w:numId w:val="3"/>
      </w:numPr>
      <w:spacing w:before="200" w:after="0" w:line="240" w:lineRule="auto"/>
      <w:jc w:val="both"/>
      <w:outlineLvl w:val="7"/>
    </w:pPr>
    <w:rPr>
      <w:rFonts w:ascii="Cambria" w:eastAsia="Times New Roman" w:hAnsi="Cambria" w:cs="Times New Roman"/>
      <w:color w:val="2DA2BF"/>
      <w:sz w:val="20"/>
      <w:szCs w:val="20"/>
      <w:lang w:val="en-GB" w:eastAsia="en-GB"/>
    </w:rPr>
  </w:style>
  <w:style w:type="paragraph" w:styleId="Heading9">
    <w:name w:val="heading 9"/>
    <w:basedOn w:val="Normal"/>
    <w:next w:val="Normal"/>
    <w:link w:val="Heading9Char"/>
    <w:uiPriority w:val="9"/>
    <w:qFormat/>
    <w:rsid w:val="002E2049"/>
    <w:pPr>
      <w:keepNext/>
      <w:keepLines/>
      <w:numPr>
        <w:ilvl w:val="8"/>
        <w:numId w:val="3"/>
      </w:numPr>
      <w:spacing w:before="200" w:after="0" w:line="240" w:lineRule="auto"/>
      <w:jc w:val="both"/>
      <w:outlineLvl w:val="8"/>
    </w:pPr>
    <w:rPr>
      <w:rFonts w:ascii="Cambria" w:eastAsia="Times New Roman" w:hAnsi="Cambria" w:cs="Times New Roman"/>
      <w:i/>
      <w:iCs/>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82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semiHidden/>
    <w:unhideWhenUsed/>
    <w:rsid w:val="00A22829"/>
    <w:rPr>
      <w:color w:val="0000FF"/>
      <w:u w:val="single"/>
    </w:rPr>
  </w:style>
  <w:style w:type="paragraph" w:styleId="Title">
    <w:name w:val="Title"/>
    <w:basedOn w:val="Normal"/>
    <w:next w:val="Normal"/>
    <w:link w:val="TitleChar"/>
    <w:autoRedefine/>
    <w:uiPriority w:val="99"/>
    <w:qFormat/>
    <w:rsid w:val="001749A5"/>
    <w:pPr>
      <w:spacing w:after="240" w:line="240" w:lineRule="auto"/>
      <w:ind w:right="-1"/>
      <w:jc w:val="center"/>
    </w:pPr>
    <w:rPr>
      <w:rFonts w:asciiTheme="majorHAnsi" w:eastAsiaTheme="majorEastAsia" w:hAnsiTheme="majorHAnsi" w:cstheme="majorBidi"/>
      <w:b/>
      <w:bCs/>
      <w:caps/>
      <w:color w:val="000090"/>
      <w:spacing w:val="5"/>
      <w:sz w:val="44"/>
      <w:szCs w:val="44"/>
      <w:lang w:val="en-GB"/>
    </w:rPr>
  </w:style>
  <w:style w:type="character" w:customStyle="1" w:styleId="TitleChar">
    <w:name w:val="Title Char"/>
    <w:basedOn w:val="DefaultParagraphFont"/>
    <w:link w:val="Title"/>
    <w:uiPriority w:val="99"/>
    <w:rsid w:val="001749A5"/>
    <w:rPr>
      <w:rFonts w:asciiTheme="majorHAnsi" w:eastAsiaTheme="majorEastAsia" w:hAnsiTheme="majorHAnsi" w:cstheme="majorBidi"/>
      <w:b/>
      <w:bCs/>
      <w:caps/>
      <w:color w:val="000090"/>
      <w:spacing w:val="5"/>
      <w:sz w:val="44"/>
      <w:szCs w:val="44"/>
      <w:lang w:val="en-GB"/>
    </w:rPr>
  </w:style>
  <w:style w:type="paragraph" w:customStyle="1" w:styleId="tableindentlines">
    <w:name w:val="table indent lines"/>
    <w:rsid w:val="008371AD"/>
    <w:pPr>
      <w:spacing w:after="0" w:line="240" w:lineRule="auto"/>
    </w:pPr>
    <w:rPr>
      <w:rFonts w:ascii="Times New Roman" w:eastAsia="ヒラギノ角ゴ Pro W3" w:hAnsi="Times New Roman" w:cs="Times New Roman"/>
      <w:color w:val="000000"/>
      <w:sz w:val="24"/>
      <w:szCs w:val="20"/>
      <w:lang w:val="en-GB" w:eastAsia="de-D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fn,Char,f,n,ADB,ft"/>
    <w:basedOn w:val="Normal"/>
    <w:link w:val="FootnoteTextChar"/>
    <w:uiPriority w:val="99"/>
    <w:unhideWhenUsed/>
    <w:qFormat/>
    <w:rsid w:val="008371AD"/>
    <w:pPr>
      <w:spacing w:after="0" w:line="240" w:lineRule="auto"/>
      <w:jc w:val="both"/>
    </w:pPr>
    <w:rPr>
      <w:rFonts w:ascii="Calibri" w:eastAsia="Times New Roman" w:hAnsi="Calibri" w:cs="Calibri"/>
      <w:sz w:val="16"/>
      <w:szCs w:val="16"/>
      <w:lang w:val="hr-HR" w:eastAsia="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8371AD"/>
    <w:rPr>
      <w:rFonts w:ascii="Calibri" w:eastAsia="Times New Roman" w:hAnsi="Calibri" w:cs="Calibri"/>
      <w:sz w:val="16"/>
      <w:szCs w:val="16"/>
      <w:lang w:val="hr-HR" w:eastAsia="en-GB"/>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8371AD"/>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371AD"/>
    <w:pPr>
      <w:spacing w:before="120" w:line="240" w:lineRule="exact"/>
      <w:jc w:val="both"/>
    </w:pPr>
    <w:rPr>
      <w:vertAlign w:val="superscript"/>
    </w:rPr>
  </w:style>
  <w:style w:type="paragraph" w:styleId="ListParagraph">
    <w:name w:val="List Paragraph"/>
    <w:aliases w:val="Bullet point,Table of contents numbered,Colorful List - Accent 11,List Paragraph2,Light Grid - Accent 31,Akapit z listą BS,Bullet1,List Paragraph in table,PROVERE 1,Bullet Points,Liste Paragraf,List Paragraph1,PDP DOCUMENT SUBTITLE"/>
    <w:basedOn w:val="Normal"/>
    <w:uiPriority w:val="34"/>
    <w:qFormat/>
    <w:rsid w:val="008371AD"/>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2E2049"/>
    <w:rPr>
      <w:rFonts w:ascii="Arial" w:eastAsia="Times New Roman" w:hAnsi="Arial" w:cs="Arial"/>
      <w:b/>
      <w:bCs/>
      <w:caps/>
      <w:sz w:val="24"/>
      <w:szCs w:val="24"/>
      <w:lang w:val="en-GB" w:eastAsia="en-GB"/>
    </w:rPr>
  </w:style>
  <w:style w:type="character" w:customStyle="1" w:styleId="Heading3Char">
    <w:name w:val="Heading 3 Char"/>
    <w:basedOn w:val="DefaultParagraphFont"/>
    <w:link w:val="Heading3"/>
    <w:uiPriority w:val="9"/>
    <w:rsid w:val="002E2049"/>
    <w:rPr>
      <w:rFonts w:ascii="Arial" w:eastAsia="Times New Roman" w:hAnsi="Arial" w:cs="Arial"/>
      <w:b/>
      <w:bCs/>
      <w:i/>
      <w:sz w:val="24"/>
      <w:szCs w:val="24"/>
      <w:lang w:val="en-GB" w:eastAsia="en-GB"/>
    </w:rPr>
  </w:style>
  <w:style w:type="character" w:customStyle="1" w:styleId="Heading4Char">
    <w:name w:val="Heading 4 Char"/>
    <w:basedOn w:val="DefaultParagraphFont"/>
    <w:link w:val="Heading4"/>
    <w:uiPriority w:val="9"/>
    <w:rsid w:val="002E2049"/>
    <w:rPr>
      <w:rFonts w:ascii="Cambria" w:eastAsia="Times New Roman" w:hAnsi="Cambria" w:cs="Times New Roman"/>
      <w:b/>
      <w:bCs/>
      <w:i/>
      <w:iCs/>
      <w:color w:val="2DA2BF"/>
      <w:sz w:val="24"/>
      <w:szCs w:val="24"/>
      <w:lang w:val="en-GB" w:eastAsia="en-GB"/>
    </w:rPr>
  </w:style>
  <w:style w:type="character" w:customStyle="1" w:styleId="Heading5Char">
    <w:name w:val="Heading 5 Char"/>
    <w:basedOn w:val="DefaultParagraphFont"/>
    <w:link w:val="Heading5"/>
    <w:uiPriority w:val="9"/>
    <w:rsid w:val="002E2049"/>
    <w:rPr>
      <w:rFonts w:ascii="Cambria" w:eastAsia="Times New Roman" w:hAnsi="Cambria" w:cs="Times New Roman"/>
      <w:color w:val="16505E"/>
      <w:sz w:val="24"/>
      <w:szCs w:val="24"/>
      <w:lang w:val="en-GB" w:eastAsia="en-GB"/>
    </w:rPr>
  </w:style>
  <w:style w:type="character" w:customStyle="1" w:styleId="Heading6Char">
    <w:name w:val="Heading 6 Char"/>
    <w:basedOn w:val="DefaultParagraphFont"/>
    <w:link w:val="Heading6"/>
    <w:uiPriority w:val="9"/>
    <w:rsid w:val="002E2049"/>
    <w:rPr>
      <w:rFonts w:ascii="Cambria" w:eastAsia="Times New Roman" w:hAnsi="Cambria" w:cs="Times New Roman"/>
      <w:i/>
      <w:iCs/>
      <w:color w:val="16505E"/>
      <w:sz w:val="24"/>
      <w:szCs w:val="24"/>
      <w:lang w:val="en-GB" w:eastAsia="en-GB"/>
    </w:rPr>
  </w:style>
  <w:style w:type="character" w:customStyle="1" w:styleId="Heading7Char">
    <w:name w:val="Heading 7 Char"/>
    <w:basedOn w:val="DefaultParagraphFont"/>
    <w:link w:val="Heading7"/>
    <w:uiPriority w:val="9"/>
    <w:rsid w:val="002E2049"/>
    <w:rPr>
      <w:rFonts w:ascii="Cambria" w:eastAsia="Times New Roman" w:hAnsi="Cambria" w:cs="Times New Roman"/>
      <w:i/>
      <w:iCs/>
      <w:color w:val="404040"/>
      <w:sz w:val="24"/>
      <w:szCs w:val="24"/>
      <w:lang w:val="en-GB" w:eastAsia="en-GB"/>
    </w:rPr>
  </w:style>
  <w:style w:type="character" w:customStyle="1" w:styleId="Heading8Char">
    <w:name w:val="Heading 8 Char"/>
    <w:basedOn w:val="DefaultParagraphFont"/>
    <w:link w:val="Heading8"/>
    <w:uiPriority w:val="9"/>
    <w:rsid w:val="002E2049"/>
    <w:rPr>
      <w:rFonts w:ascii="Cambria" w:eastAsia="Times New Roman" w:hAnsi="Cambria" w:cs="Times New Roman"/>
      <w:color w:val="2DA2BF"/>
      <w:sz w:val="20"/>
      <w:szCs w:val="20"/>
      <w:lang w:val="en-GB" w:eastAsia="en-GB"/>
    </w:rPr>
  </w:style>
  <w:style w:type="character" w:customStyle="1" w:styleId="Heading9Char">
    <w:name w:val="Heading 9 Char"/>
    <w:basedOn w:val="DefaultParagraphFont"/>
    <w:link w:val="Heading9"/>
    <w:uiPriority w:val="9"/>
    <w:rsid w:val="002E2049"/>
    <w:rPr>
      <w:rFonts w:ascii="Cambria" w:eastAsia="Times New Roman" w:hAnsi="Cambria" w:cs="Times New Roman"/>
      <w:i/>
      <w:iCs/>
      <w:color w:val="404040"/>
      <w:sz w:val="20"/>
      <w:szCs w:val="20"/>
      <w:lang w:val="en-GB" w:eastAsia="en-GB"/>
    </w:rPr>
  </w:style>
  <w:style w:type="character" w:customStyle="1" w:styleId="tlid-translation">
    <w:name w:val="tlid-translation"/>
    <w:basedOn w:val="DefaultParagraphFont"/>
    <w:rsid w:val="0075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9324">
      <w:bodyDiv w:val="1"/>
      <w:marLeft w:val="0"/>
      <w:marRight w:val="0"/>
      <w:marTop w:val="0"/>
      <w:marBottom w:val="0"/>
      <w:divBdr>
        <w:top w:val="none" w:sz="0" w:space="0" w:color="auto"/>
        <w:left w:val="none" w:sz="0" w:space="0" w:color="auto"/>
        <w:bottom w:val="none" w:sz="0" w:space="0" w:color="auto"/>
        <w:right w:val="none" w:sz="0" w:space="0" w:color="auto"/>
      </w:divBdr>
    </w:div>
    <w:div w:id="546531223">
      <w:bodyDiv w:val="1"/>
      <w:marLeft w:val="0"/>
      <w:marRight w:val="0"/>
      <w:marTop w:val="0"/>
      <w:marBottom w:val="0"/>
      <w:divBdr>
        <w:top w:val="none" w:sz="0" w:space="0" w:color="auto"/>
        <w:left w:val="none" w:sz="0" w:space="0" w:color="auto"/>
        <w:bottom w:val="none" w:sz="0" w:space="0" w:color="auto"/>
        <w:right w:val="none" w:sz="0" w:space="0" w:color="auto"/>
      </w:divBdr>
      <w:divsChild>
        <w:div w:id="1314212086">
          <w:marLeft w:val="0"/>
          <w:marRight w:val="0"/>
          <w:marTop w:val="0"/>
          <w:marBottom w:val="0"/>
          <w:divBdr>
            <w:top w:val="none" w:sz="0" w:space="0" w:color="auto"/>
            <w:left w:val="none" w:sz="0" w:space="0" w:color="auto"/>
            <w:bottom w:val="none" w:sz="0" w:space="0" w:color="auto"/>
            <w:right w:val="none" w:sz="0" w:space="0" w:color="auto"/>
          </w:divBdr>
          <w:divsChild>
            <w:div w:id="1356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9140">
      <w:bodyDiv w:val="1"/>
      <w:marLeft w:val="0"/>
      <w:marRight w:val="0"/>
      <w:marTop w:val="0"/>
      <w:marBottom w:val="0"/>
      <w:divBdr>
        <w:top w:val="none" w:sz="0" w:space="0" w:color="auto"/>
        <w:left w:val="none" w:sz="0" w:space="0" w:color="auto"/>
        <w:bottom w:val="none" w:sz="0" w:space="0" w:color="auto"/>
        <w:right w:val="none" w:sz="0" w:space="0" w:color="auto"/>
      </w:divBdr>
      <w:divsChild>
        <w:div w:id="26839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ighbourhood-enlargement/sites/near/files/20180817-revised-indicative-strategy-paper-2014-2020-for-bosnia-and-herzegovina.pdf" TargetMode="External"/><Relationship Id="rId3" Type="http://schemas.openxmlformats.org/officeDocument/2006/relationships/settings" Target="settings.xml"/><Relationship Id="rId7" Type="http://schemas.openxmlformats.org/officeDocument/2006/relationships/hyperlink" Target="http://dei.gov.ba/dei/dokumenti/finansije/?id=15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dc:creator>
  <cp:keywords/>
  <dc:description/>
  <cp:lastModifiedBy>Windows User</cp:lastModifiedBy>
  <cp:revision>18</cp:revision>
  <dcterms:created xsi:type="dcterms:W3CDTF">2020-02-06T10:16:00Z</dcterms:created>
  <dcterms:modified xsi:type="dcterms:W3CDTF">2020-02-19T10:57:00Z</dcterms:modified>
</cp:coreProperties>
</file>