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9" w:rsidRPr="009C68E1" w:rsidRDefault="00E87C39" w:rsidP="009C68E1">
      <w:pPr>
        <w:pStyle w:val="Default"/>
        <w:spacing w:before="240" w:after="240"/>
        <w:jc w:val="both"/>
        <w:rPr>
          <w:rFonts w:ascii="Arial" w:hAnsi="Arial" w:cs="Arial"/>
          <w:b/>
          <w:bCs/>
          <w:lang w:val="hr-BA"/>
        </w:rPr>
      </w:pPr>
      <w:r w:rsidRPr="009C68E1">
        <w:rPr>
          <w:rFonts w:ascii="Arial" w:hAnsi="Arial" w:cs="Arial"/>
          <w:b/>
          <w:bCs/>
          <w:lang w:val="hr-BA"/>
        </w:rPr>
        <w:t>Obrazac i uputstvo za popunjavanje izjave o usklađenosti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142"/>
        <w:gridCol w:w="1843"/>
        <w:gridCol w:w="1417"/>
        <w:gridCol w:w="5245"/>
      </w:tblGrid>
      <w:tr w:rsidR="00E87C39" w:rsidRPr="00987029" w:rsidTr="00CE52AF">
        <w:trPr>
          <w:trHeight w:val="153"/>
          <w:jc w:val="center"/>
        </w:trPr>
        <w:tc>
          <w:tcPr>
            <w:tcW w:w="9918" w:type="dxa"/>
            <w:gridSpan w:val="6"/>
          </w:tcPr>
          <w:p w:rsidR="00E87C39" w:rsidRPr="00987029" w:rsidRDefault="00E87C39" w:rsidP="00EC120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6"/>
                <w:lang w:val="hr-BA"/>
              </w:rPr>
            </w:pPr>
            <w:r w:rsidRPr="00987029">
              <w:rPr>
                <w:rFonts w:ascii="Arial" w:hAnsi="Arial" w:cs="Arial"/>
                <w:b/>
                <w:sz w:val="20"/>
                <w:szCs w:val="16"/>
                <w:lang w:val="hr-BA"/>
              </w:rPr>
              <w:t>IZJAVA O USKLAĐENOSTI</w:t>
            </w:r>
          </w:p>
        </w:tc>
      </w:tr>
      <w:tr w:rsidR="00E87C39" w:rsidRPr="008F3B05" w:rsidTr="005811F1">
        <w:trPr>
          <w:trHeight w:val="307"/>
          <w:jc w:val="center"/>
        </w:trPr>
        <w:tc>
          <w:tcPr>
            <w:tcW w:w="1271" w:type="dxa"/>
            <w:gridSpan w:val="2"/>
            <w:vMerge w:val="restart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352852650" w:edGrp="everyone" w:colFirst="2" w:colLast="2"/>
          </w:p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Podaci o obrađivač</w:t>
            </w:r>
            <w:r w:rsidR="00651F59">
              <w:rPr>
                <w:rFonts w:ascii="Arial" w:hAnsi="Arial" w:cs="Arial"/>
                <w:b/>
                <w:sz w:val="16"/>
                <w:szCs w:val="16"/>
                <w:lang w:val="hr-BA"/>
              </w:rPr>
              <w:t>u</w:t>
            </w: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propisa</w:t>
            </w:r>
          </w:p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federalnog organa uprave, odnosno federalne upravne organizacije</w:t>
            </w:r>
          </w:p>
        </w:tc>
        <w:tc>
          <w:tcPr>
            <w:tcW w:w="6662" w:type="dxa"/>
            <w:gridSpan w:val="2"/>
          </w:tcPr>
          <w:p w:rsidR="00E87C39" w:rsidRPr="008F3B05" w:rsidRDefault="00C74227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Federalno ministarstvo okoliša i turizma</w:t>
            </w:r>
          </w:p>
        </w:tc>
      </w:tr>
      <w:tr w:rsidR="00E87C39" w:rsidRPr="008F3B05" w:rsidTr="005811F1">
        <w:trPr>
          <w:trHeight w:val="368"/>
          <w:jc w:val="center"/>
        </w:trPr>
        <w:tc>
          <w:tcPr>
            <w:tcW w:w="1271" w:type="dxa"/>
            <w:gridSpan w:val="2"/>
            <w:vMerge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157694054" w:edGrp="everyone" w:colFirst="2" w:colLast="2"/>
            <w:permEnd w:id="352852650"/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Naziv organizacione jedinice</w:t>
            </w:r>
          </w:p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6662" w:type="dxa"/>
            <w:gridSpan w:val="2"/>
          </w:tcPr>
          <w:p w:rsidR="00E87C39" w:rsidRPr="008F3B05" w:rsidRDefault="00B656F1" w:rsidP="00DE4B7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Sektor za procjenu uticaja na okoliš, okolinske dozvole, registre i čiste tehnologije</w:t>
            </w:r>
            <w:r w:rsidR="00DE4B7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</w:tr>
      <w:tr w:rsidR="005811F1" w:rsidRPr="008F3B05" w:rsidTr="005811F1">
        <w:trPr>
          <w:trHeight w:val="215"/>
          <w:jc w:val="center"/>
        </w:trPr>
        <w:tc>
          <w:tcPr>
            <w:tcW w:w="3256" w:type="dxa"/>
            <w:gridSpan w:val="4"/>
          </w:tcPr>
          <w:p w:rsidR="005811F1" w:rsidRPr="008F3B05" w:rsidRDefault="005811F1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864631702" w:edGrp="everyone" w:colFirst="1" w:colLast="1"/>
            <w:permEnd w:id="1157694054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propisa</w:t>
            </w:r>
          </w:p>
        </w:tc>
        <w:tc>
          <w:tcPr>
            <w:tcW w:w="6662" w:type="dxa"/>
            <w:gridSpan w:val="2"/>
          </w:tcPr>
          <w:p w:rsidR="00094E7B" w:rsidRPr="00094E7B" w:rsidRDefault="00094E7B" w:rsidP="00094E7B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094E7B">
              <w:rPr>
                <w:rFonts w:ascii="Arial" w:hAnsi="Arial" w:cs="Arial"/>
                <w:b/>
                <w:sz w:val="16"/>
                <w:szCs w:val="16"/>
                <w:lang w:val="hr-BA"/>
              </w:rPr>
              <w:t>PRIJEDLOG PRAVILNIK</w:t>
            </w:r>
            <w:r w:rsidR="009B526B">
              <w:rPr>
                <w:rFonts w:ascii="Arial" w:hAnsi="Arial" w:cs="Arial"/>
                <w:b/>
                <w:sz w:val="16"/>
                <w:szCs w:val="16"/>
                <w:lang w:val="hr-BA"/>
              </w:rPr>
              <w:t>A</w:t>
            </w:r>
            <w:r w:rsidRPr="00094E7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O SADRŽAJU STUDIJE O PROCJENI UTICAJA NA OKOLIŠ</w:t>
            </w:r>
          </w:p>
          <w:p w:rsidR="00094E7B" w:rsidRPr="00094E7B" w:rsidRDefault="00094E7B" w:rsidP="00094E7B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5811F1" w:rsidRPr="008F3B05" w:rsidRDefault="00094E7B" w:rsidP="00094E7B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094E7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PROPOSAL OF </w:t>
            </w:r>
            <w:r w:rsidR="00864441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THE </w:t>
            </w:r>
            <w:r w:rsidRPr="00094E7B">
              <w:rPr>
                <w:rFonts w:ascii="Arial" w:hAnsi="Arial" w:cs="Arial"/>
                <w:b/>
                <w:sz w:val="16"/>
                <w:szCs w:val="16"/>
                <w:lang w:val="hr-BA"/>
              </w:rPr>
              <w:t>RULEBOOK ON THE CONTENT OF THE ENVIRONMENTAL IMPACT ASSESSMENT STUDY</w:t>
            </w:r>
          </w:p>
        </w:tc>
      </w:tr>
      <w:permEnd w:id="1864631702"/>
      <w:tr w:rsidR="00E87C39" w:rsidRPr="00651F59" w:rsidTr="00CE52AF">
        <w:trPr>
          <w:trHeight w:val="234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odredbama Sporazuma o stabilizaciji i pridruživanju</w:t>
            </w:r>
          </w:p>
        </w:tc>
      </w:tr>
      <w:tr w:rsidR="00E87C39" w:rsidRPr="008F3B05" w:rsidTr="005811F1">
        <w:trPr>
          <w:trHeight w:val="3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033962527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Odredba Sporazuma</w:t>
            </w:r>
          </w:p>
        </w:tc>
        <w:tc>
          <w:tcPr>
            <w:tcW w:w="6662" w:type="dxa"/>
            <w:gridSpan w:val="2"/>
          </w:tcPr>
          <w:p w:rsidR="00E87C39" w:rsidRPr="008F3B05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Glava VI. Usklađivanje zakona, sprovođenje zakona i pravila konkurencije, član 70. i Glava VIII. Politike saradnje, član 108. (Okoliš) Sporazuma o stabilizaciji i pridruživanju između Evropskih zajednica i njenih država članica, s jedne strane i Bosne i Hercegovine, s druge strane („Službeni glasnik BiH – međunarodni ugovori“, br. 10/08)</w:t>
            </w:r>
            <w:r w:rsidR="001330D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44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988300823" w:edGrp="everyone" w:colFirst="2" w:colLast="2"/>
            <w:permEnd w:id="1033962527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Ocjena ispunjenosti iz navedene odredbe Sporazuma</w:t>
            </w:r>
          </w:p>
        </w:tc>
        <w:tc>
          <w:tcPr>
            <w:tcW w:w="6662" w:type="dxa"/>
            <w:gridSpan w:val="2"/>
          </w:tcPr>
          <w:p w:rsidR="00E87C39" w:rsidRPr="008F3B05" w:rsidRDefault="0068270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I</w:t>
            </w:r>
            <w:r w:rsid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spunjava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u potpunosti</w:t>
            </w:r>
            <w:r w:rsidR="00AE4B5E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15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ind w:left="1080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569332648" w:edGrp="everyone" w:colFirst="2" w:colLast="2"/>
            <w:permEnd w:id="1988300823"/>
          </w:p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djelimično ispunjavanje odnosno neispunjavanje obaveze iz navedene odredbe Sporazuma i rok u kojem je predviđeno postizanje potpune usklađenosti</w:t>
            </w:r>
          </w:p>
        </w:tc>
        <w:tc>
          <w:tcPr>
            <w:tcW w:w="6662" w:type="dxa"/>
            <w:gridSpan w:val="2"/>
          </w:tcPr>
          <w:p w:rsidR="00E87C39" w:rsidRPr="002E3C55" w:rsidRDefault="00E87C39" w:rsidP="00EF0B26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</w:p>
        </w:tc>
      </w:tr>
      <w:permEnd w:id="569332648"/>
      <w:tr w:rsidR="00E87C39" w:rsidRPr="00651F59" w:rsidTr="00CE52AF">
        <w:trPr>
          <w:trHeight w:val="17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Veza propisa sa Programom integrisanja (PI)</w:t>
            </w:r>
          </w:p>
        </w:tc>
      </w:tr>
      <w:tr w:rsidR="00E87C39" w:rsidRPr="008F3B05" w:rsidTr="005811F1">
        <w:trPr>
          <w:trHeight w:val="177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036418771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PI za period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038686544" w:edGrp="everyone" w:colFirst="2" w:colLast="2"/>
            <w:permEnd w:id="1036418771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Poglavlje, potpoglavlje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4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408969856" w:edGrp="everyone" w:colFirst="2" w:colLast="2"/>
            <w:permEnd w:id="1038686544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donošenje propisa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20340631" w:edGrp="everyone" w:colFirst="2" w:colLast="2"/>
            <w:permEnd w:id="408969856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Napomena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20340631"/>
      <w:tr w:rsidR="00E87C39" w:rsidRPr="00651F59" w:rsidTr="00CE52AF">
        <w:trPr>
          <w:trHeight w:val="20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pravnom tečevinom EU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066873526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Primarni izvori prava EU</w:t>
            </w:r>
          </w:p>
        </w:tc>
        <w:tc>
          <w:tcPr>
            <w:tcW w:w="6662" w:type="dxa"/>
            <w:gridSpan w:val="2"/>
          </w:tcPr>
          <w:p w:rsidR="00DB25D7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Ugovor o funkcionisanju Evropske unije (prečišćen</w:t>
            </w:r>
            <w:r w:rsidR="00B44A70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a verzija </w:t>
            </w:r>
            <w:r w:rsidR="00B44A70" w:rsidRPr="00B44A70">
              <w:rPr>
                <w:rFonts w:ascii="Arial" w:hAnsi="Arial" w:cs="Arial"/>
                <w:b/>
                <w:sz w:val="16"/>
                <w:szCs w:val="16"/>
                <w:lang w:val="hr-BA"/>
              </w:rPr>
              <w:t>2016/C 202/01</w:t>
            </w: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), Treći dio – Politika Unije i unutrašnje djelovanj</w:t>
            </w:r>
            <w:r w:rsidR="008C3AEA">
              <w:rPr>
                <w:rFonts w:ascii="Arial" w:hAnsi="Arial" w:cs="Arial"/>
                <w:b/>
                <w:sz w:val="16"/>
                <w:szCs w:val="16"/>
                <w:lang w:val="hr-BA"/>
              </w:rPr>
              <w:t>e – Glava XX Okoliš, član 192 (2</w:t>
            </w: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).</w:t>
            </w:r>
          </w:p>
          <w:p w:rsidR="00B44A70" w:rsidRDefault="00B44A70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B44A70" w:rsidRPr="008F3B05" w:rsidRDefault="005E2B1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5E2B16">
              <w:rPr>
                <w:rFonts w:ascii="Arial" w:hAnsi="Arial" w:cs="Arial"/>
                <w:b/>
                <w:sz w:val="16"/>
                <w:szCs w:val="16"/>
                <w:lang w:val="hr-BA"/>
              </w:rPr>
              <w:t>Treaty on the Functioning of the European Union (consolidated version 2016 / C 202/01), Part Three - Union policy and internal action - Chapter XX Environment, Article 192 (2).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609107845" w:edGrp="everyone" w:colFirst="2" w:colLast="2"/>
            <w:permEnd w:id="1066873526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Sekundarni izvori prava EU</w:t>
            </w:r>
          </w:p>
        </w:tc>
        <w:tc>
          <w:tcPr>
            <w:tcW w:w="6662" w:type="dxa"/>
            <w:gridSpan w:val="2"/>
          </w:tcPr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Direktiva 2011/92/EU Europskog parlamenta i Vijeća od 13. prosinca 2011. o procjeni učinaka određenih javnih i privatnih projekata na okoliš (kodifikacija), 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(Tekst značajan za EGP) ( L 026, 28.1.2012, p.1)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izmijenjena i dopunjena sa: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►M1Direktiva 2014/52/EU Europskog parlamenta i Vijeća od 16. travnja 2014. o izmjeni Direktive 2011/92/EU o procjeni utjecaja određenih javnih i privatnih projekata na okoliš Tekst značajan za EGP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Konsolidirana verzija od 15.05.2014.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Directive 2011/92/EU of the European Parliament and of the Council of 13 December 2011 on the assessment of the effects of certain public and private projects on the environment (codification)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(Text with EEA relevance), (OJ L 026, 28.1.2012, p.1)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Amended by: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►M1 Directive 2014/52/EU of the European Parliament and of the Council of 16 April 2014 amending Directive 2011/92/EU on the assessment of the effects of certain public and private projects on the environment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(Text with EEA relevance)</w:t>
            </w:r>
          </w:p>
          <w:p w:rsidR="00DB25D7" w:rsidRPr="00DB25D7" w:rsidRDefault="00DB25D7" w:rsidP="00DB25D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E64DB3" w:rsidRPr="008118A3" w:rsidRDefault="00DB25D7" w:rsidP="00285834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DB25D7">
              <w:rPr>
                <w:rFonts w:ascii="Arial" w:hAnsi="Arial" w:cs="Arial"/>
                <w:b/>
                <w:sz w:val="16"/>
                <w:szCs w:val="16"/>
                <w:lang w:val="hr-BA"/>
              </w:rPr>
              <w:t>Conslidated version of 15.05.2014.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744254415" w:edGrp="everyone" w:colFirst="2" w:colLast="2"/>
            <w:permEnd w:id="609107845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Stepen usklađenosti sa sekundarnim izvorima prava</w:t>
            </w:r>
          </w:p>
        </w:tc>
        <w:tc>
          <w:tcPr>
            <w:tcW w:w="6662" w:type="dxa"/>
            <w:gridSpan w:val="2"/>
          </w:tcPr>
          <w:p w:rsidR="00E87C39" w:rsidRPr="008F3B05" w:rsidRDefault="008C3AE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Djelimičmo usklađeno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462188675" w:edGrp="everyone" w:colFirst="2" w:colLast="2"/>
            <w:permEnd w:id="744254415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djelimičnu usklađenost ili neusklađenost</w:t>
            </w:r>
          </w:p>
        </w:tc>
        <w:tc>
          <w:tcPr>
            <w:tcW w:w="6662" w:type="dxa"/>
            <w:gridSpan w:val="2"/>
          </w:tcPr>
          <w:p w:rsidR="00E87C39" w:rsidRPr="008F3B05" w:rsidRDefault="006416D7" w:rsidP="0064580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U februaru 2021. donesen je novi Zakon o zaštiti okoliša („Službene novine Federacije BiH“). Taj Zakon je djelimično preuzeo odredbe propisa EU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a između ostalog i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Direktive</w:t>
            </w:r>
            <w:r w:rsidR="00E65EE7" w:rsidRP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2011/92/EU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  <w:r w:rsidR="00E65EE7" w:rsidRP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Predviđeno je da se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preostali dio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zakonodavstva uskladi sa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navedenom direktivom pu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tem donošenja podzakonskih propisa.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Međutim,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u vezi sa usklađivanjem propisa sa Direktivom</w:t>
            </w:r>
            <w:r w:rsidRPr="006416D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2011/92/EU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potrebno je izmijeniti i dopuniti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Z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>akon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o zaštiti okoliša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kako bi se ugradilo pravno ovlašćenje za regulisanje određenih pitanja iz Direktive, čime bi se moglo postići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puno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preuzimanje navedene Di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rektive, </w:t>
            </w:r>
            <w:r w:rsidR="00E74BED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jer ta pitanja 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>n</w:t>
            </w:r>
            <w:r w:rsidR="00E74BED">
              <w:rPr>
                <w:rFonts w:ascii="Arial" w:hAnsi="Arial" w:cs="Arial"/>
                <w:b/>
                <w:sz w:val="16"/>
                <w:szCs w:val="16"/>
                <w:lang w:val="hr-BA"/>
              </w:rPr>
              <w:t>e</w:t>
            </w:r>
            <w:r w:rsidR="0064580B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mogu da se regulišu podzakonskim propisom nego moraju biti regulisana Zakonom, a trenutno nedostaju takva ovlašćenja. Prema tome, o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snovni problem je što u Z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akonu nije ugr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ađen adekvatan pravni osnov odn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o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sno adekvatno 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lastRenderedPageBreak/>
              <w:t>pravno ovlašć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enje kako bi se mogla regulisati sva 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preostala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pitanja iz Direktive u punom kapacitetu. 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632402075" w:edGrp="everyone" w:colFirst="2" w:colLast="2"/>
            <w:permEnd w:id="462188675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lastRenderedPageBreak/>
              <w:t>5.5.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potpuno usklađivanje</w:t>
            </w:r>
          </w:p>
        </w:tc>
        <w:tc>
          <w:tcPr>
            <w:tcW w:w="6662" w:type="dxa"/>
            <w:gridSpan w:val="2"/>
          </w:tcPr>
          <w:p w:rsidR="00E87C39" w:rsidRDefault="006B6C64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01.06.</w:t>
            </w:r>
            <w:r w:rsidR="00241C3F">
              <w:rPr>
                <w:rFonts w:ascii="Arial" w:hAnsi="Arial" w:cs="Arial"/>
                <w:b/>
                <w:sz w:val="16"/>
                <w:szCs w:val="16"/>
                <w:lang w:val="hr-BA"/>
              </w:rPr>
              <w:t>2021</w:t>
            </w:r>
            <w:r w:rsidR="003F69E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  <w:r w:rsidR="0085760E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  <w:p w:rsidR="0085760E" w:rsidRPr="008F3B05" w:rsidRDefault="0085760E" w:rsidP="00864441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Zakon o zaštiti okoliša, koji je stupio na snagu u martu 2021. godine,  je utvrdio obavezu i ovlašćenje za donošenje </w:t>
            </w:r>
            <w:r w:rsidR="00864441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ovog </w:t>
            </w:r>
            <w:r w:rsidR="00DA7D38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pravilnika </w:t>
            </w:r>
            <w:r w:rsidR="00864441">
              <w:rPr>
                <w:rFonts w:ascii="Arial" w:hAnsi="Arial" w:cs="Arial"/>
                <w:b/>
                <w:sz w:val="16"/>
                <w:szCs w:val="16"/>
                <w:lang w:val="hr-BA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preuzimanje </w:t>
            </w:r>
            <w:r w:rsidR="00DA7D38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određenog dijela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ove Direktive.  </w:t>
            </w:r>
          </w:p>
        </w:tc>
      </w:tr>
      <w:tr w:rsidR="00E87C39" w:rsidRPr="008F3B05" w:rsidTr="005811F1">
        <w:trPr>
          <w:trHeight w:val="139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575644826" w:edGrp="everyone" w:colFirst="2" w:colLast="2"/>
            <w:permEnd w:id="1632402075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5.6.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Ostali izvori prava EU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68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968108219" w:edGrp="everyone" w:colFirst="1" w:colLast="1"/>
            <w:permEnd w:id="1575644826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Ukoliko ne postoje odgovarajući propisi EU sa kojima je potrebno izvršiti usklađivanje potrebno je to konstatovati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34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67734209" w:edGrp="everyone" w:colFirst="1" w:colLast="1"/>
            <w:permEnd w:id="968108219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osiguran prevod pravnih izvora na službene jezike u upotrebi u Federaciji Bosne i Hercegovine</w:t>
            </w:r>
          </w:p>
        </w:tc>
        <w:tc>
          <w:tcPr>
            <w:tcW w:w="6662" w:type="dxa"/>
            <w:gridSpan w:val="2"/>
          </w:tcPr>
          <w:p w:rsidR="00E87C39" w:rsidRPr="008F3B05" w:rsidRDefault="0085760E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DA</w:t>
            </w:r>
          </w:p>
        </w:tc>
      </w:tr>
      <w:tr w:rsidR="00E87C39" w:rsidRPr="008F3B05" w:rsidTr="00943D35">
        <w:trPr>
          <w:trHeight w:val="172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213668051" w:edGrp="everyone" w:colFirst="1" w:colLast="1"/>
            <w:permEnd w:id="167734209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propis preveden na engleski jezik?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87C39" w:rsidRPr="008F3B05" w:rsidRDefault="00C82ED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tr w:rsidR="00943D35" w:rsidRPr="008F3B05" w:rsidTr="00943D35">
        <w:trPr>
          <w:trHeight w:val="720"/>
          <w:jc w:val="center"/>
        </w:trPr>
        <w:tc>
          <w:tcPr>
            <w:tcW w:w="3256" w:type="dxa"/>
            <w:gridSpan w:val="4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bookmarkStart w:id="0" w:name="_GoBack"/>
            <w:bookmarkEnd w:id="0"/>
            <w:permEnd w:id="1213668051"/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i/>
                <w:sz w:val="16"/>
                <w:szCs w:val="16"/>
                <w:lang w:val="hr-BA"/>
              </w:rPr>
              <w:t>Ovlašteno lice obrađivača odnosno predlagača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Direktor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Ureda Vlade Federacije Bosne i Hercegovine za zakonodavstvo i usklađenost sa propisima Evropske unije</w:t>
            </w:r>
          </w:p>
          <w:p w:rsidR="00943D35" w:rsidRPr="008F3B05" w:rsidRDefault="00943D35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</w:tr>
      <w:tr w:rsidR="00943D35" w:rsidRPr="008F3B05" w:rsidTr="00943D35">
        <w:trPr>
          <w:trHeight w:val="297"/>
          <w:jc w:val="center"/>
        </w:trPr>
        <w:tc>
          <w:tcPr>
            <w:tcW w:w="3256" w:type="dxa"/>
            <w:gridSpan w:val="4"/>
            <w:tcBorders>
              <w:top w:val="nil"/>
              <w:bottom w:val="single" w:sz="4" w:space="0" w:color="auto"/>
            </w:tcBorders>
          </w:tcPr>
          <w:p w:rsidR="00D93B5A" w:rsidRPr="00D93B5A" w:rsidRDefault="004D0964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permStart w:id="1900676612" w:edGrp="everyone" w:colFirst="0" w:colLast="0"/>
            <w:permStart w:id="1879731273" w:edGrp="everyone" w:colFirst="1" w:colLast="1"/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M </w:t>
            </w:r>
            <w:r w:rsidR="00C84629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I N I S T R I C A </w:t>
            </w:r>
            <w:r w:rsidR="00D93B5A"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>doc. dr.</w:t>
            </w:r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Edita Đapo</w:t>
            </w: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</w:tcPr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>D I R E K T O R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 xml:space="preserve">Željko Silađi  </w:t>
            </w:r>
          </w:p>
        </w:tc>
      </w:tr>
      <w:tr w:rsidR="00365785" w:rsidRPr="008F3B05" w:rsidTr="00365785">
        <w:trPr>
          <w:trHeight w:val="747"/>
          <w:jc w:val="center"/>
        </w:trPr>
        <w:tc>
          <w:tcPr>
            <w:tcW w:w="1413" w:type="dxa"/>
            <w:gridSpan w:val="3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342164406" w:edGrp="everyone" w:colFirst="1" w:colLast="1"/>
            <w:permStart w:id="1276848522" w:edGrp="everyone" w:colFirst="3" w:colLast="3"/>
            <w:permEnd w:id="1900676612"/>
            <w:permEnd w:id="1879731273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365785" w:rsidRPr="008F3B05" w:rsidRDefault="00FA1D24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17.06.2021.</w:t>
            </w:r>
          </w:p>
        </w:tc>
        <w:tc>
          <w:tcPr>
            <w:tcW w:w="1417" w:type="dxa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342164406"/>
      <w:permEnd w:id="1276848522"/>
    </w:tbl>
    <w:p w:rsidR="00E87C39" w:rsidRDefault="00E87C39" w:rsidP="00085836"/>
    <w:sectPr w:rsidR="00E87C39" w:rsidSect="007A3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612"/>
    <w:multiLevelType w:val="hybridMultilevel"/>
    <w:tmpl w:val="96C0CB06"/>
    <w:lvl w:ilvl="0" w:tplc="02D86AFA">
      <w:start w:val="5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41AC"/>
    <w:multiLevelType w:val="hybridMultilevel"/>
    <w:tmpl w:val="B110366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72"/>
    <w:multiLevelType w:val="multilevel"/>
    <w:tmpl w:val="9FFE7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A37DF"/>
    <w:multiLevelType w:val="hybridMultilevel"/>
    <w:tmpl w:val="5D889E3A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853"/>
    <w:multiLevelType w:val="hybridMultilevel"/>
    <w:tmpl w:val="047687B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25118"/>
    <w:multiLevelType w:val="hybridMultilevel"/>
    <w:tmpl w:val="AC2A67C2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61A0B"/>
    <w:multiLevelType w:val="hybridMultilevel"/>
    <w:tmpl w:val="9F7283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AC9"/>
    <w:multiLevelType w:val="hybridMultilevel"/>
    <w:tmpl w:val="C6CAE21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64F55"/>
    <w:multiLevelType w:val="hybridMultilevel"/>
    <w:tmpl w:val="DC80CD5C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wOT6+IDUcWO+Q9P3qpv+ucHPRodLtyLON/w4ln1l0Zlxceuzz4/UCH+yP23J0npjrP6zf6cMerh+tCaYOqWkg==" w:salt="DwOcL1O/fEh6oOjXpW4P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9"/>
    <w:rsid w:val="00012A6B"/>
    <w:rsid w:val="00014F54"/>
    <w:rsid w:val="000150AB"/>
    <w:rsid w:val="00017284"/>
    <w:rsid w:val="000339C4"/>
    <w:rsid w:val="00036E34"/>
    <w:rsid w:val="00041AF3"/>
    <w:rsid w:val="00043C59"/>
    <w:rsid w:val="00073A62"/>
    <w:rsid w:val="00085836"/>
    <w:rsid w:val="00094E7B"/>
    <w:rsid w:val="000A2006"/>
    <w:rsid w:val="000C325F"/>
    <w:rsid w:val="00101E7B"/>
    <w:rsid w:val="00102E3A"/>
    <w:rsid w:val="001330D8"/>
    <w:rsid w:val="001668DC"/>
    <w:rsid w:val="00170143"/>
    <w:rsid w:val="001729DE"/>
    <w:rsid w:val="001774E3"/>
    <w:rsid w:val="00180D82"/>
    <w:rsid w:val="00182F1B"/>
    <w:rsid w:val="001A5867"/>
    <w:rsid w:val="001A6B0D"/>
    <w:rsid w:val="00200F55"/>
    <w:rsid w:val="002103CB"/>
    <w:rsid w:val="00213E05"/>
    <w:rsid w:val="00240A4B"/>
    <w:rsid w:val="00241C3F"/>
    <w:rsid w:val="0027233C"/>
    <w:rsid w:val="00272E26"/>
    <w:rsid w:val="00275FAA"/>
    <w:rsid w:val="002777DA"/>
    <w:rsid w:val="0028454B"/>
    <w:rsid w:val="00285834"/>
    <w:rsid w:val="002A625E"/>
    <w:rsid w:val="002B3B21"/>
    <w:rsid w:val="002D0F12"/>
    <w:rsid w:val="002E3C55"/>
    <w:rsid w:val="002F4E3F"/>
    <w:rsid w:val="002F5177"/>
    <w:rsid w:val="002F596D"/>
    <w:rsid w:val="0031312F"/>
    <w:rsid w:val="00324946"/>
    <w:rsid w:val="003338D9"/>
    <w:rsid w:val="00344449"/>
    <w:rsid w:val="00353E59"/>
    <w:rsid w:val="0036508D"/>
    <w:rsid w:val="00365785"/>
    <w:rsid w:val="003808D5"/>
    <w:rsid w:val="003A0DC8"/>
    <w:rsid w:val="003A0F02"/>
    <w:rsid w:val="003D59C6"/>
    <w:rsid w:val="003D6574"/>
    <w:rsid w:val="003F3436"/>
    <w:rsid w:val="003F69E8"/>
    <w:rsid w:val="0040478F"/>
    <w:rsid w:val="0041348B"/>
    <w:rsid w:val="004243DE"/>
    <w:rsid w:val="004343F9"/>
    <w:rsid w:val="00437C6F"/>
    <w:rsid w:val="00440780"/>
    <w:rsid w:val="00466A2E"/>
    <w:rsid w:val="004D0964"/>
    <w:rsid w:val="00510862"/>
    <w:rsid w:val="00551352"/>
    <w:rsid w:val="00551C4A"/>
    <w:rsid w:val="00554022"/>
    <w:rsid w:val="00560152"/>
    <w:rsid w:val="005811F1"/>
    <w:rsid w:val="00584F8F"/>
    <w:rsid w:val="005869CD"/>
    <w:rsid w:val="005A051F"/>
    <w:rsid w:val="005A1275"/>
    <w:rsid w:val="005A7648"/>
    <w:rsid w:val="005B7F02"/>
    <w:rsid w:val="005C199D"/>
    <w:rsid w:val="005C5816"/>
    <w:rsid w:val="005E0665"/>
    <w:rsid w:val="005E2B16"/>
    <w:rsid w:val="005E7F46"/>
    <w:rsid w:val="005F4333"/>
    <w:rsid w:val="006016DB"/>
    <w:rsid w:val="00601E2F"/>
    <w:rsid w:val="006020BB"/>
    <w:rsid w:val="00627797"/>
    <w:rsid w:val="006416D7"/>
    <w:rsid w:val="006451D8"/>
    <w:rsid w:val="0064580B"/>
    <w:rsid w:val="00651F59"/>
    <w:rsid w:val="00680D68"/>
    <w:rsid w:val="0068270A"/>
    <w:rsid w:val="006B3523"/>
    <w:rsid w:val="006B6C64"/>
    <w:rsid w:val="006C0B10"/>
    <w:rsid w:val="006D5C9A"/>
    <w:rsid w:val="006F2349"/>
    <w:rsid w:val="006F39B2"/>
    <w:rsid w:val="00712D3D"/>
    <w:rsid w:val="0071448F"/>
    <w:rsid w:val="0073412D"/>
    <w:rsid w:val="00744C5A"/>
    <w:rsid w:val="007636C4"/>
    <w:rsid w:val="007662BD"/>
    <w:rsid w:val="007771DF"/>
    <w:rsid w:val="007A3600"/>
    <w:rsid w:val="007D7A91"/>
    <w:rsid w:val="007E0DC6"/>
    <w:rsid w:val="007F6FB6"/>
    <w:rsid w:val="00805C03"/>
    <w:rsid w:val="008118A3"/>
    <w:rsid w:val="00816988"/>
    <w:rsid w:val="0085760E"/>
    <w:rsid w:val="00864441"/>
    <w:rsid w:val="008661DF"/>
    <w:rsid w:val="008734D4"/>
    <w:rsid w:val="00877414"/>
    <w:rsid w:val="00884850"/>
    <w:rsid w:val="00892D44"/>
    <w:rsid w:val="008937F8"/>
    <w:rsid w:val="008A046E"/>
    <w:rsid w:val="008C3AEA"/>
    <w:rsid w:val="008C3D53"/>
    <w:rsid w:val="008C5E2B"/>
    <w:rsid w:val="008D242C"/>
    <w:rsid w:val="008D6A11"/>
    <w:rsid w:val="008F3B05"/>
    <w:rsid w:val="00900FE5"/>
    <w:rsid w:val="00943D35"/>
    <w:rsid w:val="00957028"/>
    <w:rsid w:val="00974CA9"/>
    <w:rsid w:val="0098330A"/>
    <w:rsid w:val="00983F7B"/>
    <w:rsid w:val="00987029"/>
    <w:rsid w:val="009B526B"/>
    <w:rsid w:val="009C4ED7"/>
    <w:rsid w:val="009C68E1"/>
    <w:rsid w:val="009E1DC7"/>
    <w:rsid w:val="009E5F37"/>
    <w:rsid w:val="009F2542"/>
    <w:rsid w:val="009F7C30"/>
    <w:rsid w:val="00A03219"/>
    <w:rsid w:val="00A12207"/>
    <w:rsid w:val="00A25D82"/>
    <w:rsid w:val="00A41B63"/>
    <w:rsid w:val="00A72E58"/>
    <w:rsid w:val="00A73D0A"/>
    <w:rsid w:val="00A772DC"/>
    <w:rsid w:val="00A83D26"/>
    <w:rsid w:val="00A90CCD"/>
    <w:rsid w:val="00AD03C3"/>
    <w:rsid w:val="00AD3904"/>
    <w:rsid w:val="00AD5839"/>
    <w:rsid w:val="00AE4B5E"/>
    <w:rsid w:val="00AE74B0"/>
    <w:rsid w:val="00B06778"/>
    <w:rsid w:val="00B44A70"/>
    <w:rsid w:val="00B63EA0"/>
    <w:rsid w:val="00B656F1"/>
    <w:rsid w:val="00B76013"/>
    <w:rsid w:val="00B95A69"/>
    <w:rsid w:val="00BA35A9"/>
    <w:rsid w:val="00BA50A7"/>
    <w:rsid w:val="00BC12BD"/>
    <w:rsid w:val="00BC5925"/>
    <w:rsid w:val="00BE16E0"/>
    <w:rsid w:val="00BE5FCA"/>
    <w:rsid w:val="00C00106"/>
    <w:rsid w:val="00C25A7A"/>
    <w:rsid w:val="00C533BD"/>
    <w:rsid w:val="00C62082"/>
    <w:rsid w:val="00C74227"/>
    <w:rsid w:val="00C813B4"/>
    <w:rsid w:val="00C82ED6"/>
    <w:rsid w:val="00C83C72"/>
    <w:rsid w:val="00C84629"/>
    <w:rsid w:val="00C96955"/>
    <w:rsid w:val="00CB6273"/>
    <w:rsid w:val="00CD2192"/>
    <w:rsid w:val="00CE2EEF"/>
    <w:rsid w:val="00CE3C24"/>
    <w:rsid w:val="00CE52AF"/>
    <w:rsid w:val="00D055E4"/>
    <w:rsid w:val="00D15F67"/>
    <w:rsid w:val="00D1634A"/>
    <w:rsid w:val="00D51EE7"/>
    <w:rsid w:val="00D52120"/>
    <w:rsid w:val="00D609ED"/>
    <w:rsid w:val="00D93B5A"/>
    <w:rsid w:val="00DA6815"/>
    <w:rsid w:val="00DA7D38"/>
    <w:rsid w:val="00DB25D7"/>
    <w:rsid w:val="00DD4A0B"/>
    <w:rsid w:val="00DE4B74"/>
    <w:rsid w:val="00E006F4"/>
    <w:rsid w:val="00E64DB3"/>
    <w:rsid w:val="00E65EE7"/>
    <w:rsid w:val="00E74BED"/>
    <w:rsid w:val="00E83FC1"/>
    <w:rsid w:val="00E87C39"/>
    <w:rsid w:val="00E908C8"/>
    <w:rsid w:val="00E93A60"/>
    <w:rsid w:val="00E96BED"/>
    <w:rsid w:val="00EB145C"/>
    <w:rsid w:val="00EB7408"/>
    <w:rsid w:val="00EC120E"/>
    <w:rsid w:val="00ED1EA2"/>
    <w:rsid w:val="00ED2B5A"/>
    <w:rsid w:val="00ED5267"/>
    <w:rsid w:val="00EF0B26"/>
    <w:rsid w:val="00F14D86"/>
    <w:rsid w:val="00F579B8"/>
    <w:rsid w:val="00F71F62"/>
    <w:rsid w:val="00F858A0"/>
    <w:rsid w:val="00FA1D24"/>
    <w:rsid w:val="00FA3328"/>
    <w:rsid w:val="00FB55B1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7194"/>
  <w15:chartTrackingRefBased/>
  <w15:docId w15:val="{F404B07F-BB0E-4C86-A06C-C672A34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39"/>
    <w:pPr>
      <w:ind w:left="720"/>
      <w:contextualSpacing/>
    </w:pPr>
  </w:style>
  <w:style w:type="paragraph" w:customStyle="1" w:styleId="Default">
    <w:name w:val="Default"/>
    <w:rsid w:val="00E8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Vicković</dc:creator>
  <cp:keywords/>
  <dc:description/>
  <cp:lastModifiedBy>Suada</cp:lastModifiedBy>
  <cp:revision>3</cp:revision>
  <cp:lastPrinted>2021-06-17T10:49:00Z</cp:lastPrinted>
  <dcterms:created xsi:type="dcterms:W3CDTF">2021-06-17T10:48:00Z</dcterms:created>
  <dcterms:modified xsi:type="dcterms:W3CDTF">2021-06-17T10:55:00Z</dcterms:modified>
</cp:coreProperties>
</file>