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C" w:rsidRPr="00177AE0" w:rsidRDefault="000A487C" w:rsidP="000A487C">
      <w:pPr>
        <w:pStyle w:val="Heading3"/>
        <w:framePr w:w="3574" w:h="904" w:wrap="auto" w:x="1426" w:y="1"/>
        <w:jc w:val="left"/>
        <w:rPr>
          <w:rFonts w:cs="Arial"/>
          <w:b w:val="0"/>
          <w:color w:val="000000"/>
        </w:rPr>
      </w:pPr>
      <w:r w:rsidRPr="00177AE0">
        <w:rPr>
          <w:rFonts w:cs="Arial"/>
          <w:b w:val="0"/>
          <w:color w:val="000000"/>
        </w:rPr>
        <w:t>Bosna i Hercegovina</w:t>
      </w:r>
    </w:p>
    <w:p w:rsidR="000A487C" w:rsidRPr="00177AE0" w:rsidRDefault="000A487C" w:rsidP="000A487C">
      <w:pPr>
        <w:pStyle w:val="Heading3"/>
        <w:framePr w:w="3574" w:h="904" w:wrap="auto" w:x="1426" w:y="1"/>
        <w:jc w:val="left"/>
        <w:rPr>
          <w:rFonts w:cs="Arial"/>
          <w:color w:val="000000"/>
        </w:rPr>
      </w:pPr>
      <w:r w:rsidRPr="00177AE0">
        <w:rPr>
          <w:rFonts w:cs="Arial"/>
          <w:color w:val="000000"/>
        </w:rPr>
        <w:t>Federacija Bosne i Hercegovine</w:t>
      </w:r>
    </w:p>
    <w:p w:rsidR="000A487C" w:rsidRPr="00177AE0" w:rsidRDefault="000A487C" w:rsidP="000A487C">
      <w:pPr>
        <w:pStyle w:val="Heading3"/>
        <w:framePr w:w="3574" w:h="904" w:wrap="auto" w:x="1426" w:y="1"/>
        <w:jc w:val="left"/>
        <w:rPr>
          <w:rFonts w:cs="Arial"/>
          <w:color w:val="000000"/>
        </w:rPr>
      </w:pPr>
      <w:r w:rsidRPr="00177AE0">
        <w:rPr>
          <w:rFonts w:cs="Arial"/>
          <w:color w:val="000000"/>
        </w:rPr>
        <w:t xml:space="preserve">FEDERALNO MINISTARSTVO  OKOLIŠA I TURIZMA                                                     </w:t>
      </w:r>
    </w:p>
    <w:p w:rsidR="000A487C" w:rsidRPr="00177AE0" w:rsidRDefault="000A487C" w:rsidP="000A487C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b w:val="0"/>
          <w:color w:val="000000"/>
        </w:rPr>
      </w:pPr>
      <w:r w:rsidRPr="00177AE0">
        <w:rPr>
          <w:rFonts w:cs="Arial"/>
          <w:b w:val="0"/>
          <w:color w:val="000000"/>
        </w:rPr>
        <w:t>Bosnia and Herzegovina</w:t>
      </w:r>
    </w:p>
    <w:p w:rsidR="000A487C" w:rsidRPr="00177AE0" w:rsidRDefault="000A487C" w:rsidP="000A487C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color w:val="000000"/>
        </w:rPr>
      </w:pPr>
      <w:r w:rsidRPr="00177AE0">
        <w:rPr>
          <w:rFonts w:cs="Arial"/>
          <w:color w:val="000000"/>
        </w:rPr>
        <w:t>Federation of Bosnia and Herzegovina</w:t>
      </w:r>
    </w:p>
    <w:p w:rsidR="000A487C" w:rsidRPr="00177AE0" w:rsidRDefault="000A487C" w:rsidP="000A487C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color w:val="000000"/>
        </w:rPr>
      </w:pPr>
      <w:r w:rsidRPr="00177AE0">
        <w:rPr>
          <w:rFonts w:cs="Arial"/>
          <w:color w:val="000000"/>
        </w:rPr>
        <w:t xml:space="preserve">                            FEDERAL MINISTRY OF ENVIRONMENT AND</w:t>
      </w:r>
    </w:p>
    <w:p w:rsidR="000A487C" w:rsidRPr="000A0261" w:rsidRDefault="000A487C" w:rsidP="000A487C">
      <w:pPr>
        <w:jc w:val="right"/>
        <w:rPr>
          <w:rFonts w:ascii="Arial" w:hAnsi="Arial" w:cs="Arial"/>
          <w:color w:val="000000"/>
          <w:lang w:eastAsia="en-US"/>
        </w:rPr>
      </w:pPr>
      <w:r w:rsidRPr="00177AE0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                                                                                         TOURISM                                                                                                 </w:t>
      </w:r>
    </w:p>
    <w:p w:rsidR="000A487C" w:rsidRPr="00856088" w:rsidRDefault="000A487C" w:rsidP="000A487C">
      <w:pPr>
        <w:pStyle w:val="Header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pStyle w:val="Header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pStyle w:val="Header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Broj: UP-I 05/2-23-11-153/15</w:t>
      </w:r>
    </w:p>
    <w:p w:rsidR="000A487C" w:rsidRPr="000A0261" w:rsidRDefault="000A487C" w:rsidP="000A487C">
      <w:pPr>
        <w:pStyle w:val="Header"/>
        <w:tabs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Sarajevo, 12.02.2016. godine</w:t>
      </w:r>
    </w:p>
    <w:p w:rsidR="000A487C" w:rsidRPr="000A0261" w:rsidRDefault="000A487C" w:rsidP="000A487C">
      <w:pPr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88">
        <w:rPr>
          <w:rFonts w:ascii="Arial" w:hAnsi="Arial" w:cs="Arial"/>
          <w:color w:val="000000"/>
          <w:sz w:val="22"/>
          <w:szCs w:val="22"/>
        </w:rPr>
        <w:t>Federalno ministarstvo okoliša i turizma rješavajući zahtjev operatora Unis „</w:t>
      </w:r>
      <w:r w:rsidRPr="000514B8">
        <w:rPr>
          <w:rFonts w:ascii="Arial" w:hAnsi="Arial" w:cs="Arial"/>
          <w:color w:val="000000"/>
          <w:sz w:val="22"/>
          <w:szCs w:val="22"/>
        </w:rPr>
        <w:t xml:space="preserve">Ginex“ d.d. Goražde </w:t>
      </w:r>
      <w:r w:rsidRPr="000A0261">
        <w:rPr>
          <w:rFonts w:ascii="Arial" w:hAnsi="Arial" w:cs="Arial"/>
          <w:color w:val="000000"/>
          <w:sz w:val="22"/>
          <w:szCs w:val="22"/>
        </w:rPr>
        <w:t xml:space="preserve">za izdavanje obnovljene okolinske dozvole za postojeće pogone i postrojenja za proizvodnju inicirajućih sredstava, eksplozivnih materija i hemikalija, na osnovu čl. 68. i 71. Zakona o zaštiti okoliša („Službene novine Federacije BiH“, br. 33/03), čl. 18. Zakona o izmjenama i dopunama zakona o zaštiti okoliša („Službene novine Federacije BiH“, broj 38/09), čl.19. i 20. </w:t>
      </w:r>
      <w:r w:rsidRPr="000A0261">
        <w:rPr>
          <w:rFonts w:ascii="Arial" w:hAnsi="Arial" w:cs="Arial"/>
          <w:color w:val="000000"/>
          <w:sz w:val="22"/>
          <w:szCs w:val="22"/>
          <w:lang w:eastAsia="bs-Latn-BA"/>
        </w:rPr>
        <w:t>Zakona o upravljanju otpadom („</w:t>
      </w:r>
      <w:r w:rsidRPr="000A0261">
        <w:rPr>
          <w:rFonts w:ascii="Arial" w:hAnsi="Arial" w:cs="Arial"/>
          <w:color w:val="000000"/>
          <w:sz w:val="22"/>
          <w:szCs w:val="22"/>
          <w:lang w:val="it-IT" w:eastAsia="bs-Latn-BA"/>
        </w:rPr>
        <w:t>Sl</w:t>
      </w:r>
      <w:r w:rsidRPr="000A0261">
        <w:rPr>
          <w:rFonts w:ascii="Arial" w:hAnsi="Arial" w:cs="Arial"/>
          <w:color w:val="000000"/>
          <w:sz w:val="22"/>
          <w:szCs w:val="22"/>
          <w:lang w:eastAsia="bs-Latn-BA"/>
        </w:rPr>
        <w:t xml:space="preserve">užbene </w:t>
      </w:r>
      <w:r w:rsidRPr="000A0261">
        <w:rPr>
          <w:rFonts w:ascii="Arial" w:hAnsi="Arial" w:cs="Arial"/>
          <w:color w:val="000000"/>
          <w:sz w:val="22"/>
          <w:szCs w:val="22"/>
          <w:lang w:val="it-IT" w:eastAsia="bs-Latn-BA"/>
        </w:rPr>
        <w:t>novine Federacije BiH”</w:t>
      </w:r>
      <w:r w:rsidRPr="000A0261">
        <w:rPr>
          <w:rFonts w:ascii="Arial" w:hAnsi="Arial" w:cs="Arial"/>
          <w:color w:val="000000"/>
          <w:sz w:val="22"/>
          <w:szCs w:val="22"/>
          <w:lang w:eastAsia="bs-Latn-BA"/>
        </w:rPr>
        <w:t xml:space="preserve">, </w:t>
      </w:r>
      <w:r w:rsidRPr="000A0261">
        <w:rPr>
          <w:rFonts w:ascii="Arial" w:hAnsi="Arial" w:cs="Arial"/>
          <w:color w:val="000000"/>
          <w:sz w:val="22"/>
          <w:szCs w:val="22"/>
          <w:lang w:val="it-IT" w:eastAsia="bs-Latn-BA"/>
        </w:rPr>
        <w:t>br</w:t>
      </w:r>
      <w:r w:rsidRPr="000A0261">
        <w:rPr>
          <w:rFonts w:ascii="Arial" w:hAnsi="Arial" w:cs="Arial"/>
          <w:color w:val="000000"/>
          <w:sz w:val="22"/>
          <w:szCs w:val="22"/>
          <w:lang w:eastAsia="bs-Latn-BA"/>
        </w:rPr>
        <w:t>. 33/03 i 72/09),</w:t>
      </w:r>
      <w:r w:rsidRPr="000A0261">
        <w:rPr>
          <w:rFonts w:ascii="Arial" w:hAnsi="Arial" w:cs="Arial"/>
          <w:color w:val="000000"/>
          <w:sz w:val="22"/>
          <w:szCs w:val="22"/>
        </w:rPr>
        <w:t xml:space="preserve"> i člana 200. Zakona o upravnom postupku („Službene novine Federacije BiH“, br. 2/98 i 48/99), </w:t>
      </w:r>
      <w:r w:rsidRPr="000A0261">
        <w:rPr>
          <w:rFonts w:ascii="Arial" w:hAnsi="Arial" w:cs="Arial"/>
          <w:i/>
          <w:color w:val="000000"/>
          <w:sz w:val="22"/>
          <w:szCs w:val="22"/>
        </w:rPr>
        <w:t>d o n o s i :</w:t>
      </w:r>
    </w:p>
    <w:p w:rsidR="000A487C" w:rsidRPr="000A0261" w:rsidRDefault="000A487C" w:rsidP="000A487C">
      <w:pPr>
        <w:rPr>
          <w:rFonts w:ascii="Arial" w:hAnsi="Arial" w:cs="Arial"/>
          <w:color w:val="000000"/>
        </w:rPr>
      </w:pPr>
    </w:p>
    <w:p w:rsidR="000A487C" w:rsidRPr="000A0261" w:rsidRDefault="000A487C" w:rsidP="000A487C">
      <w:pPr>
        <w:rPr>
          <w:rFonts w:ascii="Arial" w:hAnsi="Arial" w:cs="Arial"/>
          <w:color w:val="000000"/>
        </w:rPr>
      </w:pPr>
    </w:p>
    <w:p w:rsidR="000A487C" w:rsidRPr="00856088" w:rsidRDefault="000A487C" w:rsidP="000A487C">
      <w:pPr>
        <w:pStyle w:val="Heading2"/>
        <w:spacing w:before="0" w:after="0"/>
        <w:jc w:val="center"/>
        <w:rPr>
          <w:i w:val="0"/>
          <w:color w:val="000000"/>
          <w:sz w:val="22"/>
          <w:szCs w:val="22"/>
        </w:rPr>
      </w:pPr>
      <w:r w:rsidRPr="00856088">
        <w:rPr>
          <w:i w:val="0"/>
          <w:color w:val="000000"/>
          <w:sz w:val="22"/>
          <w:szCs w:val="22"/>
        </w:rPr>
        <w:t>R J E Š E NJ E</w:t>
      </w:r>
    </w:p>
    <w:p w:rsidR="000A487C" w:rsidRPr="000A0261" w:rsidRDefault="000A487C" w:rsidP="000A487C">
      <w:pPr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pStyle w:val="BodyText2"/>
        <w:rPr>
          <w:rFonts w:cs="Arial"/>
          <w:color w:val="000000"/>
        </w:rPr>
      </w:pPr>
      <w:r w:rsidRPr="00856088">
        <w:rPr>
          <w:rFonts w:cs="Arial"/>
          <w:b/>
          <w:color w:val="000000"/>
        </w:rPr>
        <w:t>1.</w:t>
      </w:r>
      <w:r w:rsidRPr="00856088">
        <w:rPr>
          <w:rFonts w:cs="Arial"/>
          <w:color w:val="000000"/>
        </w:rPr>
        <w:t xml:space="preserve"> Izdaje se </w:t>
      </w:r>
      <w:r w:rsidRPr="00856088">
        <w:rPr>
          <w:rFonts w:cs="Arial"/>
          <w:b/>
          <w:color w:val="000000"/>
        </w:rPr>
        <w:t>obnovljena okolinska dozvola</w:t>
      </w:r>
      <w:r w:rsidRPr="00856088">
        <w:rPr>
          <w:rFonts w:cs="Arial"/>
          <w:color w:val="000000"/>
        </w:rPr>
        <w:t xml:space="preserve"> </w:t>
      </w:r>
      <w:r w:rsidRPr="000514B8">
        <w:rPr>
          <w:rFonts w:cs="Arial"/>
          <w:color w:val="000000"/>
        </w:rPr>
        <w:t>postojeć</w:t>
      </w:r>
      <w:r w:rsidRPr="000A0261">
        <w:rPr>
          <w:rFonts w:cs="Arial"/>
          <w:color w:val="000000"/>
        </w:rPr>
        <w:t xml:space="preserve">im pogonima i postrojenjima za proizvodnju inicirajućih sredstava, eksplozivnih materija i hemikalija, operatora Unis „Ginex“ d.d. Goražde, lociranih  na  adresi  Višegradska bb, Goražde, Općina Goražde. </w:t>
      </w:r>
    </w:p>
    <w:p w:rsidR="000A487C" w:rsidRPr="000A0261" w:rsidRDefault="000A487C" w:rsidP="000A487C">
      <w:pPr>
        <w:pStyle w:val="BodyText2"/>
        <w:rPr>
          <w:rFonts w:cs="Arial"/>
          <w:b/>
          <w:color w:val="000000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page11"/>
      <w:bookmarkEnd w:id="0"/>
    </w:p>
    <w:p w:rsidR="000A487C" w:rsidRPr="000A0261" w:rsidRDefault="000A487C" w:rsidP="000A487C">
      <w:pPr>
        <w:tabs>
          <w:tab w:val="num" w:pos="360"/>
        </w:tabs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>2.5. Pogon za energetiku i prateći sadržaji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0A487C" w:rsidRPr="000A0261" w:rsidRDefault="000A487C" w:rsidP="000A487C">
      <w:pPr>
        <w:numPr>
          <w:ilvl w:val="1"/>
          <w:numId w:val="31"/>
        </w:numPr>
        <w:tabs>
          <w:tab w:val="num" w:pos="360"/>
        </w:tabs>
        <w:ind w:hanging="1440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856088">
        <w:rPr>
          <w:rFonts w:ascii="Arial" w:hAnsi="Arial" w:cs="Arial"/>
          <w:color w:val="000000"/>
          <w:sz w:val="22"/>
          <w:szCs w:val="22"/>
          <w:lang w:val="bs-Latn-BA"/>
        </w:rPr>
        <w:t xml:space="preserve">četiri kotlovnice </w:t>
      </w:r>
      <w:r w:rsidRPr="000514B8">
        <w:rPr>
          <w:rFonts w:ascii="Arial" w:hAnsi="Arial" w:cs="Arial"/>
          <w:color w:val="000000"/>
          <w:sz w:val="22"/>
          <w:szCs w:val="22"/>
          <w:lang w:val="bs-Latn-BA"/>
        </w:rPr>
        <w:t>snage</w:t>
      </w: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  2x 200 kW, 150 kW i 85 kW (&lt;1MW),</w:t>
      </w:r>
    </w:p>
    <w:p w:rsidR="000A487C" w:rsidRPr="000A0261" w:rsidRDefault="000A487C" w:rsidP="000A487C">
      <w:pPr>
        <w:numPr>
          <w:ilvl w:val="1"/>
          <w:numId w:val="31"/>
        </w:numPr>
        <w:tabs>
          <w:tab w:val="num" w:pos="36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šest  trafo stanica 10kV,</w:t>
      </w:r>
    </w:p>
    <w:p w:rsidR="000A487C" w:rsidRPr="000A0261" w:rsidRDefault="000A487C" w:rsidP="000A487C">
      <w:pPr>
        <w:numPr>
          <w:ilvl w:val="1"/>
          <w:numId w:val="31"/>
        </w:numPr>
        <w:tabs>
          <w:tab w:val="num" w:pos="36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dvije biološke jame.</w:t>
      </w:r>
    </w:p>
    <w:p w:rsidR="000A487C" w:rsidRPr="000A0261" w:rsidRDefault="000A487C" w:rsidP="000A487C">
      <w:pPr>
        <w:ind w:right="-112"/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1817"/>
        <w:gridCol w:w="4046"/>
        <w:gridCol w:w="1985"/>
      </w:tblGrid>
      <w:tr w:rsidR="000A487C" w:rsidRPr="000A0261" w:rsidTr="000A0261">
        <w:tc>
          <w:tcPr>
            <w:tcW w:w="2075" w:type="dxa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b/>
              </w:rPr>
            </w:pPr>
            <w:r w:rsidRPr="000A0261">
              <w:rPr>
                <w:rFonts w:ascii="Arial" w:hAnsi="Arial" w:cs="Arial"/>
                <w:b/>
              </w:rPr>
              <w:t>Oznaka objekta</w:t>
            </w:r>
          </w:p>
        </w:tc>
        <w:tc>
          <w:tcPr>
            <w:tcW w:w="1817" w:type="dxa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b/>
              </w:rPr>
            </w:pPr>
            <w:r w:rsidRPr="000A0261">
              <w:rPr>
                <w:rFonts w:ascii="Arial" w:hAnsi="Arial" w:cs="Arial"/>
                <w:b/>
              </w:rPr>
              <w:t>Vrsta grijanja</w:t>
            </w:r>
          </w:p>
        </w:tc>
        <w:tc>
          <w:tcPr>
            <w:tcW w:w="4046" w:type="dxa"/>
          </w:tcPr>
          <w:p w:rsidR="000A487C" w:rsidRPr="000A0261" w:rsidRDefault="000A487C" w:rsidP="000A0261">
            <w:pPr>
              <w:spacing w:after="120"/>
              <w:ind w:left="-108" w:right="-112" w:firstLine="91"/>
              <w:jc w:val="center"/>
              <w:rPr>
                <w:rFonts w:ascii="Arial" w:hAnsi="Arial" w:cs="Arial"/>
                <w:b/>
              </w:rPr>
            </w:pPr>
            <w:r w:rsidRPr="000A0261">
              <w:rPr>
                <w:rFonts w:ascii="Arial" w:hAnsi="Arial" w:cs="Arial"/>
                <w:b/>
              </w:rPr>
              <w:t>Podaci o kotlu</w:t>
            </w:r>
          </w:p>
        </w:tc>
        <w:tc>
          <w:tcPr>
            <w:tcW w:w="1985" w:type="dxa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b/>
              </w:rPr>
            </w:pPr>
            <w:r w:rsidRPr="000A0261">
              <w:rPr>
                <w:rFonts w:ascii="Arial" w:hAnsi="Arial" w:cs="Arial"/>
                <w:b/>
              </w:rPr>
              <w:t>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150A; 150B i 150C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FAMOK PK-4200; 200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Čvrsto gorivo-ugalj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104 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FAMOK PK-4150; 150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Čvrsto gorivo-ugalj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307 i 308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FAMOK PK-485; 85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Čvrsto gorivo-ugalj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T-B 32; 32 kW TERMOSTROJ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Helios Banovići EK-36; 36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302; 302A i 302B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56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Termostroj Zagreb,Termoblok 40D;40kW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303 i 304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EK-100; 100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301A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EK-24; 24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218B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EK-100; 100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EK-40; 40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Termostroj Zagreb</w:t>
            </w:r>
          </w:p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Termoblok 40G; 40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EK-50; 50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lastRenderedPageBreak/>
              <w:t>417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EK-36; 36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EK-60; 60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50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EK-100; 100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EK-50; 50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 Helios Banovići EK-36; 36 kW (x2)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rPr>
          <w:trHeight w:val="271"/>
        </w:trPr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116-A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karolifer 12 kW; 6 komada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212-A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HELIOS EK-100; 100 kW 2 kom.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EK-80; 80 kW 2 kom.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204-A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Termostroj  50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610-A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24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125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HELIOS EK- 50; 50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52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12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karolifer 9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Konvektor ATLANTIC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105; 104A; 104B; 111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Kotao na pelet Topling 250Kw x 2 kom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Pelet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314 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Centralno 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18kW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 xml:space="preserve">116- E 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18kW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40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115-A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42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301, 309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60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9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704, 704-A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12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307-A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40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703-A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40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40 Kw + 2x 100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12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111-A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40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12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703; 128-A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Konvektori ATLANTIC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12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Elektrokotao 36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  <w:tr w:rsidR="000A487C" w:rsidRPr="000A0261" w:rsidTr="000A0261">
        <w:tc>
          <w:tcPr>
            <w:tcW w:w="207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817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Centralno</w:t>
            </w:r>
          </w:p>
        </w:tc>
        <w:tc>
          <w:tcPr>
            <w:tcW w:w="4046" w:type="dxa"/>
            <w:vAlign w:val="center"/>
          </w:tcPr>
          <w:p w:rsidR="000A487C" w:rsidRPr="000A0261" w:rsidRDefault="000A487C" w:rsidP="000A0261">
            <w:pPr>
              <w:spacing w:after="120"/>
              <w:ind w:left="-108" w:right="-112" w:firstLine="91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Termo blok kotao 18 kW</w:t>
            </w:r>
          </w:p>
        </w:tc>
        <w:tc>
          <w:tcPr>
            <w:tcW w:w="1985" w:type="dxa"/>
            <w:vAlign w:val="center"/>
          </w:tcPr>
          <w:p w:rsidR="000A487C" w:rsidRPr="000A0261" w:rsidRDefault="000A487C" w:rsidP="000A0261">
            <w:pPr>
              <w:spacing w:after="120"/>
              <w:ind w:left="283" w:right="-112" w:firstLine="210"/>
              <w:rPr>
                <w:rFonts w:ascii="Arial" w:hAnsi="Arial" w:cs="Arial"/>
                <w:sz w:val="20"/>
                <w:szCs w:val="20"/>
              </w:rPr>
            </w:pPr>
            <w:r w:rsidRPr="000A0261">
              <w:rPr>
                <w:rFonts w:ascii="Arial" w:hAnsi="Arial" w:cs="Arial"/>
                <w:sz w:val="20"/>
                <w:szCs w:val="20"/>
              </w:rPr>
              <w:t>El. energija</w:t>
            </w:r>
          </w:p>
        </w:tc>
      </w:tr>
    </w:tbl>
    <w:p w:rsidR="000A487C" w:rsidRPr="000A0261" w:rsidRDefault="000A487C" w:rsidP="000A487C">
      <w:pPr>
        <w:ind w:right="-112"/>
        <w:jc w:val="center"/>
        <w:rPr>
          <w:rFonts w:ascii="Arial" w:hAnsi="Arial" w:cs="Arial"/>
        </w:rPr>
      </w:pPr>
    </w:p>
    <w:p w:rsidR="000A487C" w:rsidRPr="000A0261" w:rsidRDefault="000A487C" w:rsidP="000A487C">
      <w:pPr>
        <w:ind w:right="-112"/>
        <w:jc w:val="both"/>
        <w:rPr>
          <w:rFonts w:ascii="Arial" w:hAnsi="Arial" w:cs="Arial"/>
        </w:rPr>
      </w:pPr>
      <w:r w:rsidRPr="000A0261">
        <w:rPr>
          <w:rFonts w:ascii="Arial" w:hAnsi="Arial" w:cs="Arial"/>
        </w:rPr>
        <w:t>Instalacija centralnog grijanja u objektima koji se griju kotlovima na čvrsto gorivo izvedena je klasičnim načinom,kombinacijom radijatora i kalorifera,a kao medij koristi se topla voda.</w:t>
      </w:r>
    </w:p>
    <w:p w:rsidR="000A487C" w:rsidRPr="000A0261" w:rsidRDefault="000A487C" w:rsidP="000A487C">
      <w:pPr>
        <w:ind w:right="-112"/>
        <w:jc w:val="both"/>
        <w:rPr>
          <w:rFonts w:ascii="Arial" w:hAnsi="Arial" w:cs="Arial"/>
        </w:rPr>
      </w:pPr>
      <w:r w:rsidRPr="000A0261">
        <w:rPr>
          <w:rFonts w:ascii="Arial" w:hAnsi="Arial" w:cs="Arial"/>
        </w:rPr>
        <w:t xml:space="preserve">Instalacija centralnog grijanja u eksplozivno ugroženim objektima izvedena je po odredbama "Pravilnika zaštitne na radu" pri izradi eksploziva i baruta i manipulisanju eksplozivima i </w:t>
      </w:r>
      <w:r w:rsidRPr="000A0261">
        <w:rPr>
          <w:rFonts w:ascii="Arial" w:hAnsi="Arial" w:cs="Arial"/>
        </w:rPr>
        <w:lastRenderedPageBreak/>
        <w:t>barutima.Kotlovi za ova grijanja su na električnu energiju i nalaze se van eksplozivno ugrožene zone.</w:t>
      </w:r>
    </w:p>
    <w:p w:rsidR="000A487C" w:rsidRPr="000A0261" w:rsidRDefault="000A487C" w:rsidP="000A487C">
      <w:pPr>
        <w:ind w:right="-112"/>
        <w:jc w:val="both"/>
        <w:rPr>
          <w:rFonts w:ascii="Arial" w:hAnsi="Arial" w:cs="Arial"/>
        </w:rPr>
      </w:pPr>
      <w:r w:rsidRPr="000A0261">
        <w:rPr>
          <w:rFonts w:ascii="Arial" w:hAnsi="Arial" w:cs="Arial"/>
        </w:rPr>
        <w:t>Ostali ne navedeni objekti griju se uglavnom lokalno pećima na čvrsto gorivo a neki,veoma mali broj,električnim grijalicama.</w:t>
      </w:r>
    </w:p>
    <w:p w:rsidR="000A487C" w:rsidRPr="000A0261" w:rsidRDefault="000A487C" w:rsidP="000A487C">
      <w:pPr>
        <w:tabs>
          <w:tab w:val="num" w:pos="360"/>
        </w:tabs>
        <w:ind w:left="720" w:hanging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6088">
        <w:rPr>
          <w:rFonts w:ascii="Arial" w:hAnsi="Arial" w:cs="Arial"/>
          <w:b/>
          <w:color w:val="000000"/>
          <w:sz w:val="22"/>
          <w:szCs w:val="22"/>
        </w:rPr>
        <w:t>Osnovne korištene sirovine i pomoćni ma</w:t>
      </w:r>
      <w:r w:rsidRPr="000514B8">
        <w:rPr>
          <w:rFonts w:ascii="Arial" w:hAnsi="Arial" w:cs="Arial"/>
          <w:b/>
          <w:color w:val="000000"/>
          <w:sz w:val="22"/>
          <w:szCs w:val="22"/>
        </w:rPr>
        <w:t>terijali uključujući hemi</w:t>
      </w:r>
      <w:r w:rsidRPr="000A0261">
        <w:rPr>
          <w:rFonts w:ascii="Arial" w:hAnsi="Arial" w:cs="Arial"/>
          <w:b/>
          <w:color w:val="000000"/>
          <w:sz w:val="22"/>
          <w:szCs w:val="22"/>
        </w:rPr>
        <w:t>jske supstance i gorivo</w:t>
      </w:r>
    </w:p>
    <w:p w:rsidR="000A487C" w:rsidRPr="000A0261" w:rsidRDefault="000A487C" w:rsidP="000A487C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dinitrobenzoeva kiselina, dinitrofenol, natrijum hidroksid-tehnički, etil alkohol, natrijum nitrit-tehnički, azotna kiselina, sirćetna kiselina, olovo oksid, vodonik peroksid, hlorovodonična kiselina, hidrazin hidrat, pentrit sa 20% vlage, kalijum hlorat, ortoaminofenol, trotil, kalijum jodat, kalijum bihromat, barijum hidroksid, magnezijum oksid, kalcinirana soda, rezorcin, sumporna kiselina, kalcijum cijanamid, ugljen dioksid CO</w:t>
      </w:r>
      <w:r w:rsidRPr="000A0261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A0261">
        <w:rPr>
          <w:rFonts w:ascii="Arial" w:hAnsi="Arial" w:cs="Arial"/>
          <w:color w:val="000000"/>
          <w:sz w:val="22"/>
          <w:szCs w:val="22"/>
        </w:rPr>
        <w:t xml:space="preserve">, antimon trisulfid, šelak, ricinusovo ulje, rodamin B, magnezijum u prahu, dinitroortokrezol, natrijum karbonat, primas G, hromna kiselina, natrijum hlorid, amerikan platno, olovni minijum, </w:t>
      </w:r>
      <w:r w:rsidRPr="00856088">
        <w:rPr>
          <w:rFonts w:ascii="Arial" w:hAnsi="Arial" w:cs="Arial"/>
          <w:color w:val="000000"/>
          <w:sz w:val="22"/>
          <w:szCs w:val="22"/>
        </w:rPr>
        <w:t>bukova piljevina, n</w:t>
      </w:r>
      <w:r w:rsidRPr="000514B8">
        <w:rPr>
          <w:rFonts w:ascii="Arial" w:hAnsi="Arial" w:cs="Arial"/>
          <w:color w:val="000000"/>
          <w:sz w:val="22"/>
          <w:szCs w:val="22"/>
        </w:rPr>
        <w:t>itro capon lak</w:t>
      </w:r>
      <w:r w:rsidRPr="000A0261">
        <w:rPr>
          <w:rFonts w:ascii="Arial" w:hAnsi="Arial" w:cs="Arial"/>
          <w:color w:val="000000"/>
          <w:sz w:val="22"/>
          <w:szCs w:val="22"/>
        </w:rPr>
        <w:t xml:space="preserve">, aceton, flanel platno, kalcijum silicid, koks, ceradno platno, cirkonijum F.A., amonijak, polistiren, terpentinsko ulje, kalafonijum, repičino ulje, emulziona tekućina BU 7, natrijum azid, heksogen, nitro lak boja-zelena, nitro razređivač, crni barut No 7, crni barut No1, nitroceluloza, sporogoreći štapin, toluol za hermetizaciju, boceflok, grafit, HI-FI sprej, azot, tetril, silicijum u prahu, butil acetat, ulje rezilol Extra BCl,  izopropilni alkohol, sur-tec 104, živa, staniol, </w:t>
      </w:r>
    </w:p>
    <w:p w:rsidR="000A487C" w:rsidRPr="000A0261" w:rsidRDefault="000A487C" w:rsidP="000A487C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voda za sanitarne i tehnološke potrebe koja se obezbijeđuje vodozahvatom iz   Podhranjenskog potoka i dopremanjem cisternama (4m</w:t>
      </w:r>
      <w:r w:rsidRPr="000A0261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A0261">
        <w:rPr>
          <w:rFonts w:ascii="Arial" w:hAnsi="Arial" w:cs="Arial"/>
          <w:color w:val="000000"/>
          <w:sz w:val="22"/>
          <w:szCs w:val="22"/>
        </w:rPr>
        <w:t xml:space="preserve"> dnevno) iz  gradskog vodovoda,</w:t>
      </w:r>
    </w:p>
    <w:p w:rsidR="000A487C" w:rsidRPr="000A0261" w:rsidRDefault="000A487C" w:rsidP="000A487C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električna energije koja se obezbijeđuje putem 10kV trafo stanica, </w:t>
      </w:r>
    </w:p>
    <w:p w:rsidR="000A487C" w:rsidRPr="000A0261" w:rsidRDefault="000A487C" w:rsidP="000A487C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ugalj i drvo kao čvrsto gorivo.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856088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6088">
        <w:rPr>
          <w:rFonts w:ascii="Arial" w:hAnsi="Arial" w:cs="Arial"/>
          <w:b/>
          <w:color w:val="000000"/>
          <w:sz w:val="22"/>
          <w:szCs w:val="22"/>
        </w:rPr>
        <w:t xml:space="preserve">4. Uslovi i mjere uz koje se izdaje okolinska dozvola 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pStyle w:val="BodyText2"/>
        <w:rPr>
          <w:rFonts w:cs="Arial"/>
          <w:b/>
          <w:color w:val="000000"/>
        </w:rPr>
      </w:pPr>
      <w:r w:rsidRPr="000A0261">
        <w:rPr>
          <w:rFonts w:cs="Arial"/>
          <w:b/>
          <w:color w:val="000000"/>
        </w:rPr>
        <w:t>4.1. Opšte mjere  za zaštitu zraka, tla, voda, biljnog i životinjskog svijeta</w:t>
      </w:r>
    </w:p>
    <w:p w:rsidR="000A487C" w:rsidRPr="000A0261" w:rsidRDefault="000A487C" w:rsidP="000A487C">
      <w:pPr>
        <w:pStyle w:val="BodyText2"/>
        <w:rPr>
          <w:rFonts w:cs="Arial"/>
          <w:color w:val="000000"/>
        </w:rPr>
      </w:pPr>
    </w:p>
    <w:p w:rsidR="000A487C" w:rsidRPr="000A0261" w:rsidRDefault="000A487C" w:rsidP="000A487C">
      <w:pPr>
        <w:pStyle w:val="BodyText2"/>
        <w:ind w:firstLine="360"/>
        <w:rPr>
          <w:rFonts w:cs="Arial"/>
          <w:color w:val="000000"/>
        </w:rPr>
      </w:pPr>
      <w:r w:rsidRPr="000A0261">
        <w:rPr>
          <w:rFonts w:cs="Arial"/>
          <w:color w:val="000000"/>
        </w:rPr>
        <w:t>Operator Unis „Ginex“ d.d. Goražde dužan je da tokom rada i prestanka rada pogona ispuni opšte obaveze zaštite okoliša tako da:</w:t>
      </w:r>
    </w:p>
    <w:p w:rsidR="000A487C" w:rsidRPr="000A0261" w:rsidRDefault="000A487C" w:rsidP="000A487C">
      <w:pPr>
        <w:numPr>
          <w:ilvl w:val="0"/>
          <w:numId w:val="3"/>
        </w:numPr>
        <w:tabs>
          <w:tab w:val="clear" w:pos="1080"/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ne ugrožava niti ometa zdravlje ljudi i ne predstavlja nesnosnu/pretjeranu smetnju za ljude koji žive na području ili u blizini uticaja pogona lociranih u kompleksu za inicirajućih sredstava, eksplozivnih materija i hemikalija ili za okolinu zbog emisija supstanci, buke, mirisa, vibracija ili toplote od saobraćaja ili od postrojenja,</w:t>
      </w:r>
    </w:p>
    <w:p w:rsidR="000A487C" w:rsidRPr="000A0261" w:rsidRDefault="000A487C" w:rsidP="000A487C">
      <w:pPr>
        <w:numPr>
          <w:ilvl w:val="0"/>
          <w:numId w:val="3"/>
        </w:numPr>
        <w:tabs>
          <w:tab w:val="clear" w:pos="1080"/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preduzme sve odgovarajuće preventivne mjere tako da se spriječi </w:t>
      </w:r>
      <w:bookmarkStart w:id="1" w:name="OLE_LINK2"/>
      <w:bookmarkStart w:id="2" w:name="OLE_LINK3"/>
      <w:r w:rsidRPr="000A0261">
        <w:rPr>
          <w:rFonts w:ascii="Arial" w:hAnsi="Arial" w:cs="Arial"/>
          <w:color w:val="000000"/>
          <w:sz w:val="22"/>
          <w:szCs w:val="22"/>
        </w:rPr>
        <w:t>zagađivanje</w:t>
      </w:r>
      <w:bookmarkEnd w:id="1"/>
      <w:bookmarkEnd w:id="2"/>
      <w:r w:rsidRPr="000A0261">
        <w:rPr>
          <w:rFonts w:ascii="Arial" w:hAnsi="Arial" w:cs="Arial"/>
          <w:color w:val="000000"/>
          <w:sz w:val="22"/>
          <w:szCs w:val="22"/>
        </w:rPr>
        <w:t xml:space="preserve"> ili da se ne prouzrokuje značajnije zagađivanje,</w:t>
      </w:r>
    </w:p>
    <w:p w:rsidR="000A487C" w:rsidRPr="000A0261" w:rsidRDefault="000A487C" w:rsidP="000A487C">
      <w:pPr>
        <w:numPr>
          <w:ilvl w:val="0"/>
          <w:numId w:val="3"/>
        </w:numPr>
        <w:tabs>
          <w:tab w:val="clear" w:pos="1080"/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izbjegava produkciju otpada, a ukoliko dolazi do stvaranja otpada, količina svede na najmanju moguću mjeru ili izvrši reciklažu ili ukoliko to nije tehnički ili ekonomski izvodljivo otpad odlaže, a da se pri tome izbjegne ili smanji bilo kakav negativan uticaj na okoliš,</w:t>
      </w:r>
    </w:p>
    <w:p w:rsidR="000A487C" w:rsidRPr="000A0261" w:rsidRDefault="000A487C" w:rsidP="000A487C">
      <w:pPr>
        <w:numPr>
          <w:ilvl w:val="0"/>
          <w:numId w:val="3"/>
        </w:numPr>
        <w:tabs>
          <w:tab w:val="clear" w:pos="1080"/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efikasno koristi energetske i prirodne resurse,</w:t>
      </w:r>
    </w:p>
    <w:p w:rsidR="000A487C" w:rsidRPr="000A0261" w:rsidRDefault="000A487C" w:rsidP="000A487C">
      <w:pPr>
        <w:numPr>
          <w:ilvl w:val="0"/>
          <w:numId w:val="3"/>
        </w:numPr>
        <w:tabs>
          <w:tab w:val="clear" w:pos="1080"/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preduzme neophodne mjere za sprječavanje nesreća i ograničavanje njihovih posljedica,</w:t>
      </w:r>
    </w:p>
    <w:p w:rsidR="000A487C" w:rsidRPr="000A0261" w:rsidRDefault="000A487C" w:rsidP="000A487C">
      <w:pPr>
        <w:numPr>
          <w:ilvl w:val="0"/>
          <w:numId w:val="3"/>
        </w:numPr>
        <w:tabs>
          <w:tab w:val="clear" w:pos="1080"/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preduzme neophodne mjere nakon prestanka rada pogona da bi se izbjegao bilo kakav rizik od zagađivanja i da bi se lokacija vratila u zadovoljavajuće stanje. Zadovoljavajuće stanje znači da su ispunjeni svi standardi kvaliteta okoliša koji su relevantni za lokaciju naročito oni koji se tiču zaštite zemljišta i vode,</w:t>
      </w:r>
    </w:p>
    <w:p w:rsidR="000A487C" w:rsidRPr="000A0261" w:rsidRDefault="000A487C" w:rsidP="000A487C">
      <w:pPr>
        <w:numPr>
          <w:ilvl w:val="0"/>
          <w:numId w:val="3"/>
        </w:numPr>
        <w:tabs>
          <w:tab w:val="clear" w:pos="1080"/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ukoliko dođe do značajnih promjena u radu obavijestiti Federalno ministarstvo okoliša i turizma.</w:t>
      </w:r>
    </w:p>
    <w:p w:rsidR="000A487C" w:rsidRPr="000A0261" w:rsidRDefault="000A487C" w:rsidP="000A487C">
      <w:pPr>
        <w:tabs>
          <w:tab w:val="left" w:pos="0"/>
          <w:tab w:val="num" w:pos="36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>4.2. Aktivnosti i mjere prilikom skladištenja, prenosa i prevoza hemikalija i eksplozivnih materija sa rokovima za izvršenje mjera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propisana radna uputstva za prijem, smještaj, čuvanje i izdavanje pojedinih hemikalija i eksplozivnih materija moraju biti istaknuta na vidljivim mjestima u pojedinim objektima - stalna mjera,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pridržavati se za pojedine objekte propisanih radnih uputstava za prijem, smještaj, čuvanje i izdavanje pojedinih hemikalija i eksplozivnih materija - stalna mjera,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lastRenderedPageBreak/>
        <w:t xml:space="preserve">pridržavati se tehnološki  propisanih  dozvoljenih količine eksploziva za pojedine objekte - stalna mjera,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pridržavati se tehnološki  propisanih dozvoljenih količina gotovog proizvoda u pojedinim objektima - stalna mjera,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skladištenje bilo kakvih drugih eksplozivnih i neeksplozivnih materija, izuzev propisanih,  najstrožije se zabranjuje - stalna mjera,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eksplozivni materijal mora biti propisno upakovan, u protivnom ne smije se primati na prevoz u magacin i iz magacina - stalna mjera,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ambalaža koja se upotrebljava za pakovanje otrova (jutane ili plastične vreće ili metalna burad) mora osigurati  da prilikom prevoza, uskladištenja i rukovanja ne može doći do rasipanja ili isparavanja sadržine otrova po podovima i zidovima prevoznih sredstava, magacina i drugih prostorija u kojima su smješteni otrovi, niti da utiče na promjenu svojstava tih  otrova -,stalna mjera,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na objektima u kojima su uskladišteni opasni proizvodi, moraju biti  postavljeni  znaci upozorenja i opasnosti i utvrđena zona sigurnosti ispred objekata u kojoj nije dozvoljeno kretanje ljudi, parkiranje vozila i upotreba otvorenog plamena - stalna mjera,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prilikom prenosa i prevoza eksplozivnih materijala, rad obavljati sa najvećom pažnjom - stalna mjera,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prenos eksploziva i neeksplozivnih komponenti iz pogona izrade i prerade eksploziva i hemikalija vršiti  ručno, u teglama od alektrosprovodljive gume koje se stavljaju u drvene nosiljke - stalna mjera,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osoba koja vrši prenos obavezno se kreće po obilježenim stazama (linijama žute boje) - stalna mjera,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prevozna sredstva namijenjena za prevoz eksplozivnih materija moraju se prije utovara pregledati i na istim otkloniti svaka neispravnost koja bi mogla izazvati trenje, toplotu ili varničenje prilikom transporta eksplozivnog materijala - stalna mjera,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motorno vozilo koje vrši prevoz eksplozivnog materijala mora biti zatvoreno, imati aparat za gašenje požara i mora imati istaknutu crvenu tablicu,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transport treba organizovati tako da isključuje mogućnost požara i eksplozije - stalna mjera,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prevoz u krugu preduzeća se vrši za to određenim putevima - stalna mjera,</w:t>
      </w:r>
    </w:p>
    <w:p w:rsidR="000A487C" w:rsidRPr="000A0261" w:rsidRDefault="000A487C" w:rsidP="000A487C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vozilo sa eksplozivnim materijalom se mora kretati bez zaustavljanja od mjesta utovara do mjesta istovara, odnosno izlaza iz kruga preduzeća, ako se radi o daljnjoj vožnji van preduzeća - stalna mjera,</w:t>
      </w:r>
    </w:p>
    <w:p w:rsidR="000A487C" w:rsidRPr="000A0261" w:rsidRDefault="000A487C" w:rsidP="000A487C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prilikom prevoza eksplozivnog materijala motornim vozilom, isto se smije kretati brzinom 15 km/h kroz mehanički dio, a kroz pirotehniku brzinom do 10 km/h, 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motorno vozilo se smije opteretiti sa 3/4 svoje nosivosti - stalna mjera,</w:t>
      </w:r>
    </w:p>
    <w:p w:rsidR="000A487C" w:rsidRPr="000A0261" w:rsidRDefault="000A487C" w:rsidP="000A487C">
      <w:pPr>
        <w:numPr>
          <w:ilvl w:val="0"/>
          <w:numId w:val="2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obezbijediti kontinuirano funkcionisanje protivpožarnih aparata i hidrantske mreže sa aspekta protivpožarne zaštite koja je dimenzionisana u skladu sa požarnim opterećenjem pojedinih pogona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kod korištenje kiseline, pažljivim rukovanjem spriječiti nekontrolisano isticanje iste  - stalna mjera, 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cisterne za kiseline obezbijediti tankvanama zbog mogućnosti nekontrolisanog isticanja kiseline </w:t>
      </w: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Cs/>
          <w:color w:val="000000"/>
          <w:sz w:val="22"/>
          <w:szCs w:val="22"/>
          <w:lang w:val="pl-PL"/>
        </w:rPr>
        <w:t>redovno održavati instalacije u svrhu prevencije nekontrolisanog isticanja kiseline uslijed eventualnog kvara na istim - stalna mjera.</w:t>
      </w:r>
    </w:p>
    <w:p w:rsidR="000A487C" w:rsidRPr="00856088" w:rsidRDefault="000A487C" w:rsidP="000A487C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,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>4.3. Mjere za sprečavanje nastanka vanredne situacije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vršiti otklanjanje nedostataka u tehnološkom procesu rada, radnim i pomoćnim prostorijama, sradstvima rada kao i drugim mjestima gdje se kreću radnici  u skladu s godišnjim planom preventivnog održavanja - stalna mjera,  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sve faze i operacije u toku proizvodnje u pogonu za mehaničku i hemijsku obradu elemanata inicijatora odvijati se moraju po radnim uputstvima i tehnološkim postupcima za dati proizvod - stalna mjera,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uposleni radnici su obavezni nositi propisanu zaštitnu opremu i pridržavati se propisanih mjera sigurnosti detaljno opisanih u svakom radnom uputstvu za pojedine pogone - stalna mjera,</w:t>
      </w:r>
    </w:p>
    <w:p w:rsidR="000A487C" w:rsidRPr="000A0261" w:rsidRDefault="000A487C" w:rsidP="000A487C">
      <w:pPr>
        <w:pStyle w:val="BodyText2"/>
        <w:numPr>
          <w:ilvl w:val="0"/>
          <w:numId w:val="27"/>
        </w:numPr>
        <w:rPr>
          <w:rFonts w:cs="Arial"/>
          <w:color w:val="000000"/>
        </w:rPr>
      </w:pPr>
      <w:r w:rsidRPr="000A0261">
        <w:rPr>
          <w:rFonts w:cs="Arial"/>
          <w:color w:val="000000"/>
        </w:rPr>
        <w:t xml:space="preserve">u dostavljenom  Izvještaju o stanju sigurnosti  urađenim u skladu sa  Pravilnikom o sadržaju Izvještaja o stanju sigurnosti, sadržaju Informacija o sigurnosnim mjerama i sadržaju Unutrašnjih </w:t>
      </w:r>
      <w:r w:rsidRPr="000A0261">
        <w:rPr>
          <w:rFonts w:cs="Arial"/>
          <w:color w:val="000000"/>
        </w:rPr>
        <w:lastRenderedPageBreak/>
        <w:t>i Spoljnih planova intervencije („Službene novine Federacije BiH“, broj 68/05), informacije o sigurnosnim  mjerama razmotriti svake tri godine,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pridržavati se propisanog sadržaja Izvještaja o stanju sigurnosti,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operator Unis „Ginex“  d.d. Goražde je dužan u bilo koje vrijeme prezentirati ovom Ministarstvu dokaz o preduzetim mjerama iz Izvještaja o stanju sigurnosti,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operator Unis „Ginex“ d.d. Goražde je dužan Unutrašnji plan intervencija dostaviti Federalnoj/Kantonalnoj upravi civilne zaštite,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A487C" w:rsidRPr="000A0261" w:rsidTr="000A0261">
        <w:trPr>
          <w:hidden/>
        </w:trPr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</w:tr>
      <w:tr w:rsidR="000A487C" w:rsidRPr="000A0261" w:rsidTr="000A0261">
        <w:trPr>
          <w:hidden/>
        </w:trPr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</w:tr>
      <w:tr w:rsidR="000A487C" w:rsidRPr="000A0261" w:rsidTr="000A0261">
        <w:trPr>
          <w:hidden/>
        </w:trPr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</w:tr>
      <w:tr w:rsidR="000A487C" w:rsidRPr="000A0261" w:rsidTr="000A0261">
        <w:trPr>
          <w:hidden/>
        </w:trPr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</w:tr>
      <w:tr w:rsidR="000A487C" w:rsidRPr="000A0261" w:rsidTr="000A0261">
        <w:trPr>
          <w:hidden/>
        </w:trPr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:rsidR="000A487C" w:rsidRPr="000A0261" w:rsidRDefault="000A487C" w:rsidP="000A0261">
            <w:pPr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</w:tr>
    </w:tbl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vanish/>
          <w:color w:val="000000"/>
          <w:sz w:val="22"/>
          <w:szCs w:val="22"/>
          <w:specVanish/>
        </w:rPr>
      </w:pPr>
      <w:r w:rsidRPr="00856088">
        <w:rPr>
          <w:rFonts w:ascii="Arial" w:hAnsi="Arial" w:cs="Arial"/>
          <w:color w:val="000000"/>
          <w:sz w:val="22"/>
          <w:szCs w:val="22"/>
        </w:rPr>
        <w:t xml:space="preserve">sadržaj dokumentacije dostaviti Opštinskom štabu civilne zaštite kako bi se procijena ugroženosti od prirodnih i drugih nesreća i Plan zaštite i spašavanja Opštine Goražde uskladili sa </w:t>
      </w:r>
      <w:r w:rsidRPr="000A0261">
        <w:rPr>
          <w:rFonts w:ascii="Arial" w:hAnsi="Arial" w:cs="Arial"/>
          <w:color w:val="000000"/>
          <w:sz w:val="22"/>
          <w:szCs w:val="22"/>
        </w:rPr>
        <w:t>Spoljnim planom intervencija,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kako bi se tehnološke eksplozije svele na minimum projektima, tehnološkim postupcima i radnim uputstvima su definisane maksimalno dozvoljene količine opasnih materija koje se u datom trenutku mogu nalaziti na određenom mjestu. Istih se treba stalno pridržavati,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pridržavati se Plana sprečavanja nesreća većih razmjera,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pridržavati se Mjera zaštite i plana intervencije kojima se sprečava širenje posljedica nesreće,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aparati za početno gašenje požara i njihova prateća oprema moraju biti postavljeni na vidnom i pristupačnom mjestu u blizini svih objekata,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radovno vršiti vizuelnu kontrolu i periodične preglede-servisiranje (dva puta godišnje) aparata za početno gašenje požara (ručnih, prenosnih i prevoznih,),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redovno kontrolisati ispravnost gromobranske instalacije u svrhu zaštite od atmosferskog pražnjenja,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kontrolisati ispravnost vatrogasnog vozila (redovni tehnički pregledi svake godine),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vršiti kontrolu pritiska u hidrantnoj mreži (dva puta godišnje),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vršiti redovno čišćenje prilaza objektima i mjestima gdje se nalaze aparati za gašenje požara,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vršiti redovni obilazak svih objekata i vizuelnu kontrolu svih aparata za gašenje požara i opreme,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vršiti fizičkog nadzora i obezbjeđenja svih objekata,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vršiti kontrolu prevoza, utovara i istovara poluproizvoda i gotovih proizvoda,</w:t>
      </w:r>
    </w:p>
    <w:p w:rsidR="000A487C" w:rsidRPr="000A0261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vršiti kontrolu ulaska i izlaska zaposlenika</w:t>
      </w:r>
      <w:r w:rsidRPr="000A0261">
        <w:rPr>
          <w:rFonts w:ascii="Arial" w:hAnsi="Arial" w:cs="Arial"/>
          <w:color w:val="000000"/>
          <w:sz w:val="22"/>
          <w:szCs w:val="22"/>
        </w:rPr>
        <w:t>.</w:t>
      </w:r>
    </w:p>
    <w:p w:rsidR="000A487C" w:rsidRPr="00856088" w:rsidRDefault="000A487C" w:rsidP="000A487C">
      <w:pPr>
        <w:numPr>
          <w:ilvl w:val="0"/>
          <w:numId w:val="2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>4.4. Postupak djelovanja u slučaju nastanka opasne situacije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42"/>
        </w:numPr>
        <w:tabs>
          <w:tab w:val="clear" w:pos="2160"/>
          <w:tab w:val="num" w:pos="360"/>
        </w:tabs>
        <w:ind w:hanging="21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pridržavati se Plana upravljanja u vanrednim situacijama,</w:t>
      </w:r>
    </w:p>
    <w:p w:rsidR="000A487C" w:rsidRPr="000A0261" w:rsidRDefault="000A487C" w:rsidP="000A487C">
      <w:pPr>
        <w:numPr>
          <w:ilvl w:val="0"/>
          <w:numId w:val="4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pridržavati se Mjera zaštite i Plana intervencije kojima se sprečava širenje posljedica nesreće, </w:t>
      </w:r>
    </w:p>
    <w:p w:rsidR="000A487C" w:rsidRPr="000A0261" w:rsidRDefault="000A487C" w:rsidP="000A487C">
      <w:pPr>
        <w:numPr>
          <w:ilvl w:val="0"/>
          <w:numId w:val="4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pridržavati se Unutrašnjeg plana intervencije,</w:t>
      </w:r>
    </w:p>
    <w:p w:rsidR="000A487C" w:rsidRPr="000A0261" w:rsidRDefault="000A487C" w:rsidP="000A487C">
      <w:pPr>
        <w:numPr>
          <w:ilvl w:val="0"/>
          <w:numId w:val="4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pridržavati se Spoljnog  plana intervencije.</w:t>
      </w:r>
    </w:p>
    <w:p w:rsidR="000A487C" w:rsidRPr="000A0261" w:rsidRDefault="000A487C" w:rsidP="000A487C">
      <w:pPr>
        <w:ind w:hanging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856088" w:rsidRDefault="000A487C" w:rsidP="000A487C">
      <w:pPr>
        <w:pStyle w:val="BodyText2"/>
        <w:rPr>
          <w:rFonts w:cs="Arial"/>
          <w:vanish/>
          <w:color w:val="000000"/>
          <w:specVanish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6088">
        <w:rPr>
          <w:rFonts w:ascii="Arial" w:hAnsi="Arial" w:cs="Arial"/>
          <w:b/>
          <w:color w:val="000000"/>
          <w:sz w:val="22"/>
          <w:szCs w:val="22"/>
        </w:rPr>
        <w:t>4.5.</w:t>
      </w:r>
      <w:r w:rsidRPr="000A0261">
        <w:rPr>
          <w:rFonts w:ascii="Arial" w:hAnsi="Arial" w:cs="Arial"/>
          <w:b/>
          <w:color w:val="000000"/>
          <w:sz w:val="22"/>
          <w:szCs w:val="22"/>
        </w:rPr>
        <w:t xml:space="preserve"> Mjere za spriječavanje, smanjene nastanka otpada i emisija u vode i mjere upravljanja otpadom 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redovnim remontom spriječiti mogućnost pojave kvarova na instalaciji ili uređajima koji mogu prouzrokovati nekontrolisano isticanje hemikalija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redovnim kontrolama spriječiti mogućnost isticanja ulja iz trafo stanica - stalna mjera, 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u periodu važenja dozvole istražiti mogućnost pranja mehaničkih elemenata samo sredstvima za odmašćivanje što bi smanjilo upotrebu azotne i sumporne kiseline za tu svrhu, 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sve vrste otpada privremeno skladištiti u prostorima namjenjenima  za tu svrhu, do predaje firmama ovlaštenim za upravljanje pojedinim vrstama otpada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sva mjesta nastajanja otpada i mjesta prikupljanja moraju biti vidno  obilježena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eventualna curenja trafo ulja sakupiti u tankvane, nakon toga pretočiti ulje u odgovarajuću burad i predati ovlaštenim firmama na dalje zbrinjavanje - mjeru primjeniti po potrebi,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istrošena ulja koja služe za razna podmazivanja skupljati u burad koja su skladištena na posebnom mjestu, do predaje ovlaštenim firmama za upravljanje ovakvom vrstom otpada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u prostoru koji pokrivaju instalirani proizvodni kapaciteti pridržavati se propisane  procedura tretmana svih vrsta otpada, način njihovog  skupljanja i zbrinjavanja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sve vrste otpada evidentirati prema količini i vrstama, te polugodišnju evidenciju dostaviti imenovanoj osobi u firmi za poslove upravljanja otpadom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lastRenderedPageBreak/>
        <w:t>eventulni čvrsti otpadak pri manipulaciji sa materijalom za sušenje prema radnom uputstvu mora se pokupiti i odnijeti na mjesto namijenjeno za uništavanje te materije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obezbijediti tretiranje nastalog otpada na način kojim se osigurava povrat sirovinskog materijala iz njega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sve količine eksploziva koje se prikupljaju u čvrstom i tečnom stanju, a nastaju kao otpad u proizvodnim procesima razgrađivati hemijskim postupkom u postrojenju sa vlastitom tehnologijom uz uštede u vodi i energiji - stalna mjera,</w:t>
      </w:r>
    </w:p>
    <w:p w:rsidR="000A487C" w:rsidRPr="00856088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 xml:space="preserve">Sačiniti snimak postojećeg stanja kanalizacione mreže i izgradnja postrojenja za tretman sanitarno-fekalnih otpadnih voda za sva predužeća u industrijskoj zoni i izvršiti novelaciju Glavnog projekta fekalne kanalizacije u krugu industrijske zona "Pobjeda" Goražde; rok za izvršenje mjere </w:t>
      </w:r>
      <w:r w:rsidRPr="000A0261">
        <w:rPr>
          <w:rFonts w:ascii="Arial" w:hAnsi="Arial" w:cs="Arial"/>
          <w:color w:val="FF0000"/>
          <w:sz w:val="22"/>
          <w:szCs w:val="22"/>
          <w:lang w:val="bs-Latn-BA"/>
        </w:rPr>
        <w:t>2017. godina,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čišćenje bioloških i septičkih jama obavljati povremeno u skladu s ugovorom sklopljenim sa javnim preduzećem za komunalne djelatnosti,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kontrolisati ispravnost vodovodnih instalacija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ugradnom dodatnih ventila, mlaznica sa ventilima i sl. racionalizirati potrošnju vode kod tehnoloških pranja - stalna mjera,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Uveđenjem nove tehnologije pranja određenih mehaničkih elemenata-nakovnja bez upotrebe  koncentrovane sumporne i azotne kiseline i opreme za proces odmaščivanja nakovnja smanjiti potrošnju vode i upotrebljavati sredstva koja su prihvatljiva za okoliš i u skladu sa EU direktivama; rok za izvršenje mjere 2016. godina,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Iz Pogona za proizvodnju inicijalnih i detonatorskih sredstava otpadne vode se odvode na destrukciju eksploziva, a zatim na prečišćavanje u  Pogon za izradu i preradu eksploziva i hemikalija.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Otpadne vode iz Pogona za izradu mehaničkih elemenata (pogon površinske zaštite), rješavati se u sklopu projekta koji se realizuje za cijelu industrijsku zonu "Pobjeda" d.d. Goražde koja je i nosilac aktivnosti,</w:t>
      </w:r>
    </w:p>
    <w:p w:rsidR="000A487C" w:rsidRPr="000A0261" w:rsidRDefault="000A487C" w:rsidP="000A487C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0A0261">
        <w:rPr>
          <w:rFonts w:ascii="Arial" w:hAnsi="Arial" w:cs="Arial"/>
          <w:color w:val="000000"/>
          <w:sz w:val="22"/>
          <w:szCs w:val="22"/>
          <w:lang w:val="bs-Latn-BA"/>
        </w:rPr>
        <w:t>Izvršiti rekonstrukciju postojećeg vodozahvata i distribucije vode; postrojenje vodosnadbjevanja koje jedjelimično u funkciji (ne vrši se taloženje, filtracija i dezinfekcija vode).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 xml:space="preserve">4.6. Mjere prevencije  emisija u zrak 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37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u kotlovnici koristiti ugljeve čiji je ukupni sadržaj sumpora niži od 5% po toni ekvivalentnog uglja, </w:t>
      </w:r>
    </w:p>
    <w:p w:rsidR="000A487C" w:rsidRPr="000A0261" w:rsidRDefault="000A487C" w:rsidP="000A487C">
      <w:pPr>
        <w:numPr>
          <w:ilvl w:val="0"/>
          <w:numId w:val="37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vršiti redovno servisiranje svih ložišta u kotlovnicama,</w:t>
      </w:r>
    </w:p>
    <w:p w:rsidR="000A487C" w:rsidRPr="000A0261" w:rsidRDefault="000A487C" w:rsidP="000A487C">
      <w:pPr>
        <w:numPr>
          <w:ilvl w:val="0"/>
          <w:numId w:val="37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vršiti redovnu zamjenu istrošenih dijelova koji utiču na kvalitet sagorijevanja.</w:t>
      </w: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>4.7. Mjere prevencije nastanka  i smanjenja buke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5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kontrolirati emisije buke na izvoru, dizajnom, odabirom, upravljanjem i održavanjem opreme kako bi se spriječilo ili umanjilo izlaganje - stalna mjera. </w:t>
      </w: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856088" w:rsidRDefault="000A487C" w:rsidP="000A487C">
      <w:pPr>
        <w:pStyle w:val="BodyText3"/>
        <w:numPr>
          <w:ilvl w:val="0"/>
          <w:numId w:val="13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856088">
        <w:rPr>
          <w:rFonts w:ascii="Arial" w:hAnsi="Arial" w:cs="Arial"/>
          <w:b/>
          <w:color w:val="000000"/>
          <w:sz w:val="22"/>
          <w:szCs w:val="22"/>
          <w:lang w:val="hr-HR"/>
        </w:rPr>
        <w:t>Granične vrijednosti emisija</w:t>
      </w:r>
    </w:p>
    <w:p w:rsidR="000A487C" w:rsidRPr="000A0261" w:rsidRDefault="000A487C" w:rsidP="000A487C">
      <w:pPr>
        <w:pStyle w:val="BodyText3"/>
        <w:tabs>
          <w:tab w:val="left" w:pos="720"/>
        </w:tabs>
        <w:spacing w:after="0"/>
        <w:ind w:left="360" w:hanging="360"/>
        <w:rPr>
          <w:rFonts w:ascii="Arial" w:hAnsi="Arial" w:cs="Arial"/>
          <w:b/>
          <w:color w:val="000000"/>
          <w:sz w:val="22"/>
          <w:szCs w:val="22"/>
          <w:highlight w:val="yellow"/>
          <w:lang w:val="hr-HR"/>
        </w:rPr>
      </w:pPr>
    </w:p>
    <w:p w:rsidR="000A487C" w:rsidRPr="000A487C" w:rsidRDefault="000A487C" w:rsidP="000A487C">
      <w:pPr>
        <w:shd w:val="clear" w:color="auto" w:fill="FFFFFF"/>
        <w:ind w:left="360" w:hanging="360"/>
        <w:jc w:val="both"/>
        <w:rPr>
          <w:rFonts w:ascii="Arial" w:hAnsi="Arial" w:cs="Arial"/>
          <w:b/>
          <w:iCs/>
          <w:color w:val="000000" w:themeColor="text1"/>
          <w:spacing w:val="-4"/>
          <w:sz w:val="22"/>
          <w:szCs w:val="22"/>
        </w:rPr>
      </w:pPr>
      <w:r w:rsidRPr="000A0261">
        <w:rPr>
          <w:rFonts w:ascii="Arial" w:hAnsi="Arial" w:cs="Arial"/>
          <w:b/>
          <w:iCs/>
          <w:color w:val="000000"/>
          <w:spacing w:val="-4"/>
          <w:sz w:val="22"/>
          <w:szCs w:val="22"/>
        </w:rPr>
        <w:t>5.1</w:t>
      </w:r>
      <w:r w:rsidRPr="000A487C">
        <w:rPr>
          <w:rFonts w:ascii="Arial" w:hAnsi="Arial" w:cs="Arial"/>
          <w:b/>
          <w:iCs/>
          <w:color w:val="000000" w:themeColor="text1"/>
          <w:spacing w:val="-4"/>
          <w:sz w:val="22"/>
          <w:szCs w:val="22"/>
        </w:rPr>
        <w:t xml:space="preserve">. Granične vrijednosti emisije pojedinih zagađujućih materija u zrak </w:t>
      </w:r>
    </w:p>
    <w:p w:rsidR="000A487C" w:rsidRPr="000A487C" w:rsidRDefault="000A487C" w:rsidP="000A487C">
      <w:pPr>
        <w:shd w:val="clear" w:color="auto" w:fill="FFFFFF"/>
        <w:ind w:left="360" w:hanging="360"/>
        <w:jc w:val="both"/>
        <w:rPr>
          <w:rFonts w:ascii="Arial" w:hAnsi="Arial" w:cs="Arial"/>
          <w:b/>
          <w:iCs/>
          <w:color w:val="000000" w:themeColor="text1"/>
          <w:spacing w:val="-4"/>
          <w:sz w:val="22"/>
          <w:szCs w:val="22"/>
        </w:rPr>
      </w:pPr>
    </w:p>
    <w:p w:rsidR="000A487C" w:rsidRPr="000A487C" w:rsidRDefault="000A487C" w:rsidP="000A487C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>Granične vrijdnosti emisja u zrak propisane su Pravilnikom o graničnim vrijednostima emisije u zrak iz postrojenja za sagorjevanje („Službene novine Federacije BiH“, br. 3/13 i 92/17).</w:t>
      </w:r>
    </w:p>
    <w:p w:rsidR="000A487C" w:rsidRPr="000A487C" w:rsidRDefault="000A487C" w:rsidP="000A487C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Navedenim pravilnikom propisano je da su m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ala postrojenja za sagorijevanje su postrojenja za sagorijevanje čija je toplotna snaga:</w:t>
      </w:r>
    </w:p>
    <w:p w:rsidR="000A487C" w:rsidRPr="000A487C" w:rsidRDefault="000A487C" w:rsidP="000A487C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br/>
        <w:t>- 0,05-1 MW</w:t>
      </w:r>
      <w:r w:rsidRPr="000A487C">
        <w:rPr>
          <w:rFonts w:ascii="Arial" w:hAnsi="Arial" w:cs="Arial"/>
          <w:color w:val="000000" w:themeColor="text1"/>
          <w:sz w:val="22"/>
          <w:szCs w:val="22"/>
          <w:vertAlign w:val="subscript"/>
        </w:rPr>
        <w:t>th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 pri korištenju čvrstog goriva i to: biomase i ostataka iz prerade biomase, uglja i briketa iz uglja i koksa sa sadržajem sumpora manjim od 2 g/MJ; 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br/>
        <w:t>- 0,05-5 MW</w:t>
      </w:r>
      <w:r w:rsidRPr="000A487C">
        <w:rPr>
          <w:rFonts w:ascii="Arial" w:hAnsi="Arial" w:cs="Arial"/>
          <w:color w:val="000000" w:themeColor="text1"/>
          <w:sz w:val="22"/>
          <w:szCs w:val="22"/>
          <w:vertAlign w:val="subscript"/>
        </w:rPr>
        <w:t>th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 pri korištenju tečnog goriva: ulje za loženje lako i ekstra lako u skladu sa propisom kojim se uređuju fizičko-hemijske karakteristike tečnih goriva; 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br/>
        <w:t>- 0,05-10 MW</w:t>
      </w:r>
      <w:r w:rsidRPr="000A487C">
        <w:rPr>
          <w:rFonts w:ascii="Arial" w:hAnsi="Arial" w:cs="Arial"/>
          <w:color w:val="000000" w:themeColor="text1"/>
          <w:sz w:val="22"/>
          <w:szCs w:val="22"/>
          <w:vertAlign w:val="subscript"/>
        </w:rPr>
        <w:t>th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 pri korištenju prirodnog gasa ili tečnog naftnog gasa." 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0A487C" w:rsidRPr="000A487C" w:rsidRDefault="000A487C" w:rsidP="000A487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Tabela 8. Granične vrijednosti emisije za CO i NO</w:t>
      </w:r>
      <w:r w:rsidRPr="000A487C">
        <w:rPr>
          <w:rFonts w:ascii="Arial" w:hAnsi="Arial" w:cs="Arial"/>
          <w:b/>
          <w:bCs/>
          <w:color w:val="000000" w:themeColor="text1"/>
          <w:sz w:val="22"/>
          <w:szCs w:val="22"/>
          <w:vertAlign w:val="subscript"/>
        </w:rPr>
        <w:t>x</w:t>
      </w:r>
      <w:r w:rsidRPr="000A48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postojeća mala postrojenja za sagorijevanje zavisno od vrste goriva</w:t>
      </w:r>
    </w:p>
    <w:p w:rsidR="000A487C" w:rsidRPr="000A487C" w:rsidRDefault="000A487C" w:rsidP="000A487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5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2210"/>
      </w:tblGrid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1) ugljen monoksid:</w:t>
            </w:r>
          </w:p>
        </w:tc>
        <w:tc>
          <w:tcPr>
            <w:tcW w:w="1137" w:type="pct"/>
            <w:vAlign w:val="center"/>
          </w:tcPr>
          <w:p w:rsidR="000A487C" w:rsidRPr="000A487C" w:rsidRDefault="000A487C" w:rsidP="000A02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čvrsta goriva</w:t>
            </w:r>
          </w:p>
        </w:tc>
        <w:tc>
          <w:tcPr>
            <w:tcW w:w="0" w:type="auto"/>
            <w:noWrap/>
            <w:vAlign w:val="center"/>
          </w:tcPr>
          <w:p w:rsidR="000A487C" w:rsidRPr="000A487C" w:rsidRDefault="000A487C" w:rsidP="000A02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2) azotni oksidi: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čvrsta goriva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400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te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bs-Latn-BA"/>
              </w:rPr>
              <w:t>čna goriva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127" w:hanging="1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450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gasovita goriva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125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3)dimni broj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-čvrsta goriva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-tečna goriva: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ekstra lako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lako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srednje i teško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-gasovita goriva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4)čvrste čestice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 čvrsta goriva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150 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 tečna goriva: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  -ekstra lako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30 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  -lako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50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386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  -srednje i teško</w:t>
            </w:r>
          </w:p>
        </w:tc>
        <w:tc>
          <w:tcPr>
            <w:tcW w:w="0" w:type="auto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613" w:firstLine="6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60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pl-PL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n</w:t>
            </w:r>
          </w:p>
        </w:tc>
      </w:tr>
    </w:tbl>
    <w:p w:rsidR="000A487C" w:rsidRPr="000A487C" w:rsidRDefault="000A487C" w:rsidP="000A487C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0A487C" w:rsidRPr="000A487C" w:rsidRDefault="000A487C" w:rsidP="000A487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Postoje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ć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mala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postrojenja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za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sagorijevanje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uskladi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ć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vrijednosti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emisija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sa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odredbama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ovog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pravilnika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za nova postrojenja,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najkasnije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5 godina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od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dana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stupanja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na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snagu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ovog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pravilnika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A487C" w:rsidRPr="000A487C" w:rsidRDefault="000A487C" w:rsidP="000A487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Tabela 9. Grani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>č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ne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vrijednosti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dimnog broja, emisije CO i NO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vertAlign w:val="subscript"/>
        </w:rPr>
        <w:t>x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za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nova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mala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postrojenja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za</w:t>
      </w: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A487C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sagorijevanje zavisno od vrste goriva</w:t>
      </w:r>
    </w:p>
    <w:p w:rsidR="000A487C" w:rsidRPr="000A487C" w:rsidRDefault="000A487C" w:rsidP="000A487C">
      <w:pPr>
        <w:rPr>
          <w:rFonts w:ascii="Arial" w:hAnsi="Arial" w:cs="Arial"/>
          <w:b/>
          <w:bCs/>
          <w:color w:val="000000" w:themeColor="text1"/>
          <w:sz w:val="22"/>
          <w:szCs w:val="22"/>
          <w:vertAlign w:val="subscript"/>
          <w:lang w:val="pl-PL"/>
        </w:rPr>
      </w:pPr>
    </w:p>
    <w:p w:rsidR="000A487C" w:rsidRPr="000A487C" w:rsidRDefault="000A487C" w:rsidP="000A487C">
      <w:pPr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0A487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Tečna goriva</w:t>
      </w:r>
    </w:p>
    <w:p w:rsidR="000A487C" w:rsidRPr="000A487C" w:rsidRDefault="000A487C" w:rsidP="000A487C">
      <w:pPr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</w:p>
    <w:tbl>
      <w:tblPr>
        <w:tblW w:w="48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1578"/>
      </w:tblGrid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1) dimni broj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toplotne snage &lt; 11 kW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≤ 2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toplotne snage 11 kW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bs-Latn-BA"/>
              </w:rPr>
              <w:t>-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5 MW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≤ 1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2) ugljen monoksid: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- postrojenja toplotne snage 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400 kW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noWrap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ind w:left="-1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175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toplotne snage 400 kW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- 2,5 MW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noWrap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120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toplotne snage 2,5 - 5 MW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80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3) azotni oksidi (izraženi kao NO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2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)  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kod kojih je temperatura vode u kotlu niža od 110°C a nadpritisak ne veći od 0,05 MPa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100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kod kojih je temperatura vode u kotlu viša od 110°C a niža od 210°C a nadpritisak veći od 0,05 MPa a manji od 1,8 MPa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200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58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kod kojih je temperatura vode u kotlu viša od 210°C, a nadpritisak veći od 1,8 MPa</w:t>
            </w:r>
          </w:p>
        </w:tc>
        <w:tc>
          <w:tcPr>
            <w:tcW w:w="842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250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</w:tbl>
    <w:p w:rsidR="000A487C" w:rsidRPr="000A487C" w:rsidRDefault="000A487C" w:rsidP="000A487C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0A487C" w:rsidRPr="000A487C" w:rsidRDefault="000A487C" w:rsidP="000A487C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Gasovita goriva</w:t>
      </w:r>
    </w:p>
    <w:tbl>
      <w:tblPr>
        <w:tblW w:w="49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6"/>
        <w:gridCol w:w="1621"/>
      </w:tblGrid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1) ugljen monoksid</w:t>
            </w:r>
          </w:p>
        </w:tc>
        <w:tc>
          <w:tcPr>
            <w:tcW w:w="857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- postrojenja toplotne snage 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400 kW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th.</w:t>
            </w:r>
          </w:p>
        </w:tc>
        <w:tc>
          <w:tcPr>
            <w:tcW w:w="857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100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toplotne snage 400 kW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- 10 MW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th</w:t>
            </w:r>
          </w:p>
        </w:tc>
        <w:tc>
          <w:tcPr>
            <w:tcW w:w="857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80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2) azotni oksidi (izraženi kao NO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pl-PL"/>
              </w:rPr>
              <w:t>2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857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na prirodni gas kod kojih je temperatura vode u kotlu niža od 110°C a nadpritisak manji od 0,05 MPa</w:t>
            </w:r>
          </w:p>
        </w:tc>
        <w:tc>
          <w:tcPr>
            <w:tcW w:w="857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125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lastRenderedPageBreak/>
              <w:t>-postrojenja na prirodni gas kod kojih je temperatura vode u kotlu viša od 110°C a niža od 210°C a nadpritisak veći od 0,05 MPa a manji od 1,8 MPa</w:t>
            </w:r>
          </w:p>
        </w:tc>
        <w:tc>
          <w:tcPr>
            <w:tcW w:w="857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110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na prirodni gas kod kojih je temperatura vode u kotlu</w:t>
            </w:r>
          </w:p>
          <w:p w:rsidR="000A487C" w:rsidRPr="000A487C" w:rsidRDefault="000A487C" w:rsidP="000A026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viša od 210°C a nadpritisak veći od 1,8 MPa</w:t>
            </w:r>
          </w:p>
        </w:tc>
        <w:tc>
          <w:tcPr>
            <w:tcW w:w="857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150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  <w:tr w:rsidR="000A487C" w:rsidRPr="000A487C" w:rsidTr="000A0261">
        <w:trPr>
          <w:tblCellSpacing w:w="0" w:type="dxa"/>
        </w:trPr>
        <w:tc>
          <w:tcPr>
            <w:tcW w:w="4143" w:type="pct"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 postrojenja na tečni naftni gas</w:t>
            </w:r>
          </w:p>
        </w:tc>
        <w:tc>
          <w:tcPr>
            <w:tcW w:w="857" w:type="pct"/>
            <w:noWrap/>
            <w:vAlign w:val="center"/>
          </w:tcPr>
          <w:p w:rsidR="000A487C" w:rsidRPr="000A487C" w:rsidRDefault="000A487C" w:rsidP="000A0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</w:rPr>
              <w:t>200 mg/m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0A487C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n</w:t>
            </w:r>
          </w:p>
        </w:tc>
      </w:tr>
    </w:tbl>
    <w:p w:rsidR="000A487C" w:rsidRPr="000A487C" w:rsidRDefault="000A487C" w:rsidP="000A487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>Granična vrijednost emisije za nova mala postrojenja za sagorijevanje na gasovita goriva odnosi se na zapreminski udio kiseonika u otpadnom gasu od 3%.</w:t>
      </w: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 nova mala postrojenja za sagorijevanje za tečna i gasovita goriva toplotne snage 4 </w:t>
      </w:r>
      <w:r w:rsidRPr="000A487C">
        <w:rPr>
          <w:rFonts w:ascii="Arial" w:hAnsi="Arial" w:cs="Arial"/>
          <w:color w:val="000000" w:themeColor="text1"/>
          <w:sz w:val="22"/>
          <w:szCs w:val="22"/>
          <w:lang w:val="bs-Latn-BA"/>
        </w:rPr>
        <w:t>-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400 kW</w:t>
      </w:r>
      <w:r w:rsidRPr="000A487C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th</w:t>
      </w:r>
      <w:r w:rsidRPr="000A487C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toplotni gubici se određuju na osnovu propisa koji uređuje zahtjeve kvaliteta i ispitivanja karakteristika novih toplovodnih kotlova </w:t>
      </w:r>
      <w:r w:rsidRPr="000A0261">
        <w:rPr>
          <w:rFonts w:ascii="Arial" w:hAnsi="Arial" w:cs="Arial"/>
          <w:color w:val="000000"/>
          <w:sz w:val="22"/>
          <w:szCs w:val="22"/>
          <w:lang w:val="pl-PL"/>
        </w:rPr>
        <w:t>na tečna i gasovita goriva.</w:t>
      </w:r>
    </w:p>
    <w:p w:rsidR="000A487C" w:rsidRPr="000A0261" w:rsidRDefault="000A487C" w:rsidP="000A487C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A487C" w:rsidRPr="000A0261" w:rsidRDefault="000A487C" w:rsidP="000A487C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6088">
        <w:rPr>
          <w:rFonts w:ascii="Arial" w:hAnsi="Arial" w:cs="Arial"/>
          <w:b/>
          <w:bCs/>
          <w:color w:val="000000"/>
          <w:sz w:val="22"/>
          <w:szCs w:val="22"/>
        </w:rPr>
        <w:t>5.2.</w:t>
      </w:r>
      <w:r w:rsidRPr="000A0261">
        <w:rPr>
          <w:rFonts w:ascii="Arial" w:hAnsi="Arial" w:cs="Arial"/>
          <w:b/>
          <w:bCs/>
          <w:color w:val="000000"/>
          <w:sz w:val="22"/>
          <w:szCs w:val="22"/>
        </w:rPr>
        <w:t xml:space="preserve"> Granične vrijednosti opasnih i štetnih materija u tehnološkim otpadnim vodama </w:t>
      </w:r>
    </w:p>
    <w:p w:rsidR="000A487C" w:rsidRPr="000A0261" w:rsidRDefault="000A487C" w:rsidP="000A487C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487C" w:rsidRPr="000A0261" w:rsidRDefault="000A487C" w:rsidP="000A487C">
      <w:pPr>
        <w:tabs>
          <w:tab w:val="left" w:pos="0"/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  <w:r w:rsidRPr="000A0261">
        <w:rPr>
          <w:rFonts w:ascii="Arial" w:hAnsi="Arial" w:cs="Arial"/>
          <w:color w:val="000000"/>
          <w:sz w:val="22"/>
          <w:szCs w:val="22"/>
        </w:rPr>
        <w:tab/>
        <w:t>Granične vrijednosti za tehnološke otpadne vode definirane su Uredbom o uvjetima ispuštanja otpadnih voda u prirodne recipijente i sustav javne kanalizacije („Službene novine Federacije BiH“, br. 26/20).</w:t>
      </w:r>
      <w:r w:rsidRPr="000A0261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</w:p>
    <w:p w:rsidR="000A487C" w:rsidRPr="000A0261" w:rsidRDefault="000A487C" w:rsidP="000A487C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Tabela 1. Granične vrijednosti štetnih materija u tehnološkim otpadnim vodama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173"/>
        <w:gridCol w:w="1239"/>
        <w:gridCol w:w="2183"/>
        <w:gridCol w:w="2184"/>
      </w:tblGrid>
      <w:tr w:rsidR="000A487C" w:rsidRPr="000A0261" w:rsidTr="000A0261">
        <w:trPr>
          <w:trHeight w:val="383"/>
          <w:jc w:val="center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pStyle w:val="Subtitle"/>
              <w:snapToGrid w:val="0"/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0A0261">
              <w:rPr>
                <w:rFonts w:ascii="Arial" w:hAnsi="Arial" w:cs="Arial"/>
                <w:color w:val="000000"/>
                <w:sz w:val="20"/>
                <w:lang w:val="en-GB"/>
              </w:rPr>
              <w:t>8Parametar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Jedinica mjere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Granične vrijednosti emisije tehnoloških otpadnih voda koje se ispuštaju u</w:t>
            </w:r>
          </w:p>
        </w:tc>
      </w:tr>
      <w:tr w:rsidR="000A487C" w:rsidRPr="000A0261" w:rsidTr="000A0261">
        <w:trPr>
          <w:trHeight w:val="38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površinska vodna tijela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javni kanalizacioni sistem </w:t>
            </w:r>
          </w:p>
        </w:tc>
      </w:tr>
      <w:tr w:rsidR="000A487C" w:rsidRPr="000A0261" w:rsidTr="000A0261">
        <w:trPr>
          <w:trHeight w:val="18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56088">
              <w:rPr>
                <w:rFonts w:ascii="Arial" w:hAnsi="Arial"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0A0261">
              <w:rPr>
                <w:rFonts w:ascii="Arial" w:hAnsi="Arial"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0A0261">
              <w:rPr>
                <w:rFonts w:ascii="Arial" w:hAnsi="Arial"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0A0261">
              <w:rPr>
                <w:rFonts w:ascii="Arial" w:hAnsi="Arial" w:cs="Arial"/>
                <w:color w:val="000000"/>
                <w:sz w:val="20"/>
                <w:lang w:val="en-GB"/>
              </w:rPr>
              <w:t>4</w:t>
            </w:r>
          </w:p>
        </w:tc>
      </w:tr>
      <w:tr w:rsidR="000A487C" w:rsidRPr="000A0261" w:rsidTr="000A0261">
        <w:trPr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487C" w:rsidRPr="00856088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A Opći parametri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</w:pPr>
            <w:r w:rsidRPr="000A0261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Maksimalna temperatura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</w:pPr>
            <w:r w:rsidRPr="000A0261"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  <w:t>0</w:t>
            </w:r>
            <w:r w:rsidRPr="000A0261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C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0A0261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0A0261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40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6,5 - 9,0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6,5 - 9,5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Taložive materije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ml/l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Ukupne suspendirane materije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400,0</w:t>
            </w:r>
          </w:p>
        </w:tc>
      </w:tr>
      <w:tr w:rsidR="000A487C" w:rsidRPr="000A0261" w:rsidTr="000A0261">
        <w:trPr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487C" w:rsidRPr="00856088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B Anorganski parametri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Aluminij, Al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Antimon, Sb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0,3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Arsen, As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Bakar, Cu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Barij, Ba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Bor, 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Cijanidi slobodni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Cijanidi ukupni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Cink, Zn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Fluoridi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Hlor slobodni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Hlor ukupni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Hloridi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Hrom šestovalentni, Cr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6+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Hrom ukupni, Cr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Kadmij, Cd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Kalaj, Sn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Kobalt, Co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Mangan, Mn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Molibden, Mo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Nikal, 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Olovo, Pb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Selen, Se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Srebro, Ag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Sulfati, SO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Sulfidi, 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Sulfiti, SO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lastRenderedPageBreak/>
              <w:t>28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Talij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Vanadij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Volfram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Željezo, Fe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Živa, Hg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</w:tr>
      <w:tr w:rsidR="000A487C" w:rsidRPr="000A0261" w:rsidTr="000A0261">
        <w:trPr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487C" w:rsidRPr="00856088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C Nutrijenti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Amonijačni azot, NH4-N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Nitratni azot, NO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</w:pPr>
            <w:r w:rsidRPr="000A0261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Ukupni azot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0A0261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15,0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Subtitle"/>
              <w:snapToGrid w:val="0"/>
              <w:rPr>
                <w:rFonts w:ascii="Arial" w:hAnsi="Arial" w:cs="Arial"/>
                <w:b w:val="0"/>
                <w:color w:val="000000"/>
                <w:sz w:val="20"/>
                <w:vertAlign w:val="superscript"/>
                <w:lang w:val="en-GB"/>
              </w:rPr>
            </w:pPr>
            <w:r w:rsidRPr="000A0261">
              <w:rPr>
                <w:rFonts w:ascii="Arial" w:hAnsi="Arial" w:cs="Arial"/>
                <w:b w:val="0"/>
                <w:color w:val="000000"/>
                <w:sz w:val="20"/>
                <w:lang w:val="en-GB"/>
              </w:rPr>
              <w:t>100,0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fosfor, 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2,0 (a)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5,0</w:t>
            </w:r>
          </w:p>
        </w:tc>
      </w:tr>
      <w:tr w:rsidR="000A487C" w:rsidRPr="000A0261" w:rsidTr="000A0261">
        <w:trPr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487C" w:rsidRPr="00856088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D Organski parametri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Adsorbilni organski halogeni (AOX)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BPK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mgO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bscript"/>
                <w:lang w:val="en-GB"/>
              </w:rPr>
              <w:t>2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Heksahlorbenzen (HCB)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0,03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KPK-Cr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mgO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bscript"/>
                <w:lang w:val="en-GB"/>
              </w:rPr>
              <w:t>2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Lakohlapljivi aromatski ugljikovodici (BTX)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Lakohlapljivi klorirani ugljikovodici (LKCH)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Mineralna ulja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Teškohlapljive lipofilne tvari (ukupna ulja i masti)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Ukupne površinske aktivne tvari (deterdženti i dr.)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aromatski ugljikovodici (PAH)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fenoli (C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6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5</w:t>
            </w: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OH)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10,0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hlorirani bifenili (PCBs)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0,01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organofosforni i karbamatni pesticidi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organohlorni pesticidi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0,025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Ukupni organski ugljik (TOC)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50,0</w:t>
            </w:r>
          </w:p>
        </w:tc>
      </w:tr>
      <w:tr w:rsidR="000A487C" w:rsidRPr="000A0261" w:rsidTr="000A0261">
        <w:trPr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487C" w:rsidRPr="00856088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E Radioaktivnost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Ukupna beta radioaktivnost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mBq/l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color w:val="00000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color w:val="000000"/>
                <w:lang w:val="en-GB" w:eastAsia="en-US"/>
              </w:rPr>
            </w:pPr>
            <w:r w:rsidRPr="000A0261">
              <w:rPr>
                <w:rStyle w:val="Emphasis"/>
                <w:rFonts w:ascii="Arial" w:hAnsi="Arial" w:cs="Arial"/>
                <w:color w:val="000000"/>
                <w:sz w:val="20"/>
                <w:lang w:val="en-GB"/>
              </w:rPr>
              <w:t>500,0</w:t>
            </w:r>
          </w:p>
        </w:tc>
      </w:tr>
      <w:tr w:rsidR="000A487C" w:rsidRPr="000A0261" w:rsidTr="000A0261">
        <w:trPr>
          <w:trHeight w:val="382"/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487C" w:rsidRPr="00856088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US"/>
              </w:rPr>
            </w:pPr>
            <w:r w:rsidRPr="0085608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F Toksičnost</w:t>
            </w:r>
          </w:p>
        </w:tc>
      </w:tr>
      <w:tr w:rsidR="000A487C" w:rsidRPr="000A0261" w:rsidTr="000A02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856088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85608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Toksiološki bioogled Daphnia magna Straus, 48hEC50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% otpadne vode u razblaženju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color w:val="000000"/>
                <w:lang w:val="en-GB" w:eastAsia="en-US"/>
              </w:rPr>
            </w:pPr>
            <w:r w:rsidRPr="000A026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&gt; 50%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7C" w:rsidRPr="000A0261" w:rsidRDefault="000A487C" w:rsidP="000A0261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color w:val="000000"/>
                <w:lang w:val="en-GB" w:eastAsia="en-US"/>
              </w:rPr>
            </w:pPr>
          </w:p>
        </w:tc>
      </w:tr>
    </w:tbl>
    <w:p w:rsidR="000A487C" w:rsidRPr="000A0261" w:rsidRDefault="000A487C" w:rsidP="000A48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856088" w:rsidRDefault="000A487C" w:rsidP="000A48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>5.3. Granične vrijednosti buke</w:t>
      </w:r>
    </w:p>
    <w:p w:rsidR="000A487C" w:rsidRPr="000A0261" w:rsidRDefault="000A487C" w:rsidP="000A487C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0A487C" w:rsidRPr="000A0261" w:rsidRDefault="000A487C" w:rsidP="000A487C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A0261">
        <w:rPr>
          <w:rFonts w:ascii="Arial" w:hAnsi="Arial" w:cs="Arial"/>
          <w:color w:val="000000"/>
          <w:sz w:val="22"/>
          <w:szCs w:val="22"/>
          <w:lang w:val="sl-SI"/>
        </w:rPr>
        <w:t>Dozvoljeni nivoi buke na otvorenom prostoru/vanjske buke – kod prvih stambenih zgrada/ kuća, sukladno Zakonu o zaštiti od buke (</w:t>
      </w:r>
      <w:r w:rsidRPr="000A0261">
        <w:rPr>
          <w:rFonts w:ascii="Arial" w:hAnsi="Arial" w:cs="Arial"/>
          <w:color w:val="000000"/>
          <w:sz w:val="22"/>
          <w:szCs w:val="22"/>
          <w:lang w:val="pt-PT"/>
        </w:rPr>
        <w:t>“</w:t>
      </w:r>
      <w:r w:rsidRPr="000A0261">
        <w:rPr>
          <w:rFonts w:ascii="Arial" w:hAnsi="Arial" w:cs="Arial"/>
          <w:color w:val="000000"/>
          <w:sz w:val="22"/>
          <w:szCs w:val="22"/>
          <w:lang w:val="sl-SI"/>
        </w:rPr>
        <w:t>Službene novine Federacije BiH</w:t>
      </w:r>
      <w:r w:rsidRPr="000A0261">
        <w:rPr>
          <w:rFonts w:ascii="Arial" w:hAnsi="Arial" w:cs="Arial"/>
          <w:color w:val="000000"/>
          <w:sz w:val="22"/>
          <w:szCs w:val="22"/>
          <w:lang w:val="pt-PT"/>
        </w:rPr>
        <w:t>“</w:t>
      </w:r>
      <w:r w:rsidRPr="000A0261">
        <w:rPr>
          <w:rFonts w:ascii="Arial" w:hAnsi="Arial" w:cs="Arial"/>
          <w:color w:val="000000"/>
          <w:sz w:val="22"/>
          <w:szCs w:val="22"/>
          <w:lang w:val="sl-SI"/>
        </w:rPr>
        <w:t>, broj 110/12).</w:t>
      </w: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A0261">
        <w:rPr>
          <w:rFonts w:ascii="Arial" w:hAnsi="Arial" w:cs="Arial"/>
          <w:color w:val="000000"/>
          <w:sz w:val="22"/>
          <w:szCs w:val="22"/>
          <w:lang w:val="sl-SI"/>
        </w:rPr>
        <w:t>Tabela 2. Dozvoljeni nivoi buke</w:t>
      </w: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4762"/>
        <w:gridCol w:w="1559"/>
        <w:gridCol w:w="993"/>
        <w:gridCol w:w="909"/>
      </w:tblGrid>
      <w:tr w:rsidR="000A487C" w:rsidRPr="000A0261" w:rsidTr="000A0261">
        <w:trPr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Područje (zona) 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NAMJENA PODRUČJA 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Najviši dozvoljeni nivoi (dBA) </w:t>
            </w:r>
          </w:p>
        </w:tc>
      </w:tr>
      <w:tr w:rsidR="000A487C" w:rsidRPr="000A0261" w:rsidTr="000A02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Ekvivalentni nivoi Leq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Vršni nivo </w:t>
            </w:r>
          </w:p>
        </w:tc>
      </w:tr>
      <w:tr w:rsidR="000A487C" w:rsidRPr="000A0261" w:rsidTr="000A02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7C" w:rsidRPr="000A0261" w:rsidRDefault="000A487C" w:rsidP="000A026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noć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b/>
                <w:color w:val="000000"/>
                <w:sz w:val="22"/>
                <w:szCs w:val="22"/>
              </w:rPr>
              <w:t>L1</w:t>
            </w:r>
          </w:p>
        </w:tc>
      </w:tr>
      <w:tr w:rsidR="000A487C" w:rsidRPr="000A0261" w:rsidTr="000A026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856088" w:rsidRDefault="000A487C" w:rsidP="000A0261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08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Bolničko-lječilišno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60 </w:t>
            </w:r>
          </w:p>
        </w:tc>
      </w:tr>
      <w:tr w:rsidR="000A487C" w:rsidRPr="000A0261" w:rsidTr="000A026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856088" w:rsidRDefault="000A487C" w:rsidP="000A0261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088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Turističko, rekreacijsko, oporavilišno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65 </w:t>
            </w:r>
          </w:p>
        </w:tc>
      </w:tr>
      <w:tr w:rsidR="000A487C" w:rsidRPr="000A0261" w:rsidTr="000A026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856088" w:rsidRDefault="000A487C" w:rsidP="000A0261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088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Čisto stambeno, odgojno-obrazovne i zdravstvene institucije, javne zelene i rekreacione površine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55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45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70 </w:t>
            </w:r>
          </w:p>
        </w:tc>
      </w:tr>
      <w:tr w:rsidR="000A487C" w:rsidRPr="000A0261" w:rsidTr="000A026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856088" w:rsidRDefault="000A487C" w:rsidP="000A0261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0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Trgovačko, poslovno, stambeno i stambeno uz prometne koridore, skladišta bez teškog transporta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60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50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75 </w:t>
            </w:r>
          </w:p>
        </w:tc>
      </w:tr>
      <w:tr w:rsidR="000A487C" w:rsidRPr="000A487C" w:rsidTr="000A026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487C" w:rsidRDefault="000A487C" w:rsidP="000A0261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487C" w:rsidRDefault="000A487C" w:rsidP="000A0261">
            <w:pPr>
              <w:pStyle w:val="NormalWeb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Poslovno, upravno, trgovačko obrtničko, servisno (komunalni servis)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487C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 xml:space="preserve">65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487C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 xml:space="preserve">60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487C" w:rsidRDefault="000A487C" w:rsidP="000A0261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0A4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 xml:space="preserve">80 </w:t>
            </w:r>
          </w:p>
        </w:tc>
      </w:tr>
      <w:tr w:rsidR="000A487C" w:rsidRPr="000A0261" w:rsidTr="000A026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856088" w:rsidRDefault="000A487C" w:rsidP="000A0261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088">
              <w:rPr>
                <w:rFonts w:ascii="Arial" w:hAnsi="Arial" w:cs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Industrijsko, skladišno, servisno i prometno područje bez stanovanja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</w: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70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7C" w:rsidRPr="000A0261" w:rsidRDefault="000A487C" w:rsidP="000A0261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2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85 </w:t>
            </w:r>
          </w:p>
        </w:tc>
      </w:tr>
    </w:tbl>
    <w:p w:rsidR="000A487C" w:rsidRPr="00856088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Leq – ekvivalentni nivo - nivo buke pri srednjoj energetskoj vrijednosti buke promjenjljivog nivoa i ekvivalentna je kontinuiranoj buci mjerenoj u periodu od najmanje 15 minuta.</w:t>
      </w:r>
    </w:p>
    <w:p w:rsidR="000A487C" w:rsidRPr="000A0261" w:rsidRDefault="000A487C" w:rsidP="000A487C">
      <w:pPr>
        <w:pStyle w:val="BodyText3"/>
        <w:tabs>
          <w:tab w:val="left" w:pos="360"/>
          <w:tab w:val="left" w:pos="720"/>
        </w:tabs>
        <w:spacing w:after="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0A487C" w:rsidRPr="000A0261" w:rsidRDefault="000A487C" w:rsidP="000A487C">
      <w:pPr>
        <w:pStyle w:val="BodyText3"/>
        <w:tabs>
          <w:tab w:val="left" w:pos="360"/>
          <w:tab w:val="left" w:pos="720"/>
        </w:tabs>
        <w:spacing w:after="0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0A0261">
        <w:rPr>
          <w:rFonts w:ascii="Arial" w:hAnsi="Arial" w:cs="Arial"/>
          <w:b/>
          <w:color w:val="000000"/>
          <w:sz w:val="22"/>
          <w:szCs w:val="22"/>
          <w:lang w:val="hr-HR"/>
        </w:rPr>
        <w:t>6. Sistem monitoringa</w:t>
      </w:r>
    </w:p>
    <w:p w:rsidR="000A487C" w:rsidRPr="000A0261" w:rsidRDefault="000A487C" w:rsidP="000A487C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ab/>
        <w:t>Operator Unis „Ginex“ d.d. Goražde dužan je da vrši monitoring proizvodnje i nastanka otpada, monitoring voda, monitoring emisija u zrak i monitoring buke.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b/>
          <w:color w:val="000000"/>
          <w:sz w:val="22"/>
          <w:szCs w:val="22"/>
        </w:rPr>
        <w:t>6.1.  Monitoring proizvodnje i nastanka otpada</w:t>
      </w:r>
    </w:p>
    <w:p w:rsidR="000A487C" w:rsidRPr="000A0261" w:rsidRDefault="000A487C" w:rsidP="000A48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vršiti kontinuiran monitoring utroška pojedinih sirovina, materijala, energenata i vode, te voditi evidenciju utroška istih na bazi mjesečne potrošnje u skladu sa Planom upravljanja otpadom, </w:t>
      </w:r>
    </w:p>
    <w:p w:rsidR="000A487C" w:rsidRPr="000A0261" w:rsidRDefault="000A487C" w:rsidP="000A487C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vršiti monitoring nastanka otpada po vrsti i količini, </w:t>
      </w:r>
    </w:p>
    <w:p w:rsidR="000A487C" w:rsidRPr="000A0261" w:rsidRDefault="000A487C" w:rsidP="000A487C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uspostaviti proceduru za vođenje dnevne evidencije otpada po vrsti, količini i rizičnosti uzimajući u obzir odredbe Pravilnika o katalogu otpada sa listama („Službene novine Federacije BiH“, broj 9/05).</w:t>
      </w:r>
    </w:p>
    <w:p w:rsidR="000A487C" w:rsidRPr="000A0261" w:rsidRDefault="000A487C" w:rsidP="000A487C">
      <w:pPr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856088">
        <w:rPr>
          <w:rFonts w:ascii="Arial" w:hAnsi="Arial" w:cs="Arial"/>
          <w:b/>
          <w:color w:val="000000"/>
          <w:sz w:val="22"/>
          <w:szCs w:val="22"/>
        </w:rPr>
        <w:t xml:space="preserve">6.2.  </w:t>
      </w:r>
      <w:r w:rsidRPr="000A0261">
        <w:rPr>
          <w:rFonts w:ascii="Arial" w:hAnsi="Arial" w:cs="Arial"/>
          <w:b/>
          <w:color w:val="000000"/>
          <w:sz w:val="22"/>
          <w:szCs w:val="22"/>
        </w:rPr>
        <w:t>Monitoring voda</w:t>
      </w:r>
    </w:p>
    <w:p w:rsidR="000A487C" w:rsidRPr="000A0261" w:rsidRDefault="000A487C" w:rsidP="000A487C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pacing w:val="2"/>
          <w:sz w:val="22"/>
          <w:szCs w:val="22"/>
        </w:rPr>
        <w:t>- vrš</w:t>
      </w:r>
      <w:r w:rsidRPr="000A0261">
        <w:rPr>
          <w:rFonts w:ascii="Arial" w:hAnsi="Arial" w:cs="Arial"/>
          <w:color w:val="000000"/>
          <w:sz w:val="22"/>
          <w:szCs w:val="22"/>
        </w:rPr>
        <w:t xml:space="preserve">iti redovno monitoring tehnoloških otpadnih voda, odnosno monitoring karakterističnih fizičko-hemijskih parametara prečišćene vode od površinske zaštite i prečišćene vode iz pogona proizvodnje inicijalnih i detonatorskih sredstava u skladu s odredbama Uredbe o uvjetima ispuštanja otpadnih voda u prirodne recipijente i sustav javne kanalizacije („Službene novine Federacije BiH“, br. 26/20). </w:t>
      </w:r>
    </w:p>
    <w:p w:rsidR="000A487C" w:rsidRPr="000A0261" w:rsidRDefault="000A487C" w:rsidP="000A487C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svi pojedinačni i zbirni godišnji izvještaji o ispitivanju i ocjeni kvaliteta tehnoloških otpadnih voda dostavljaju se Agenciji za vodno područje slivova rijeke Save,</w:t>
      </w:r>
    </w:p>
    <w:p w:rsidR="000A487C" w:rsidRPr="000A0261" w:rsidRDefault="000A487C" w:rsidP="000A487C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>ispitivanje i ocjenu kvaliteta tehnoloških otpadnih voda može vršiti samo laboratorija koja ima ovlaštenja u skladu sa Zakonom o vodama („Službene novine Federacije BiH“, broj 70/06),</w:t>
      </w:r>
    </w:p>
    <w:p w:rsidR="000A487C" w:rsidRPr="000A487C" w:rsidRDefault="000A487C" w:rsidP="000A487C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  <w:tab w:val="left" w:pos="1620"/>
        </w:tabs>
        <w:spacing w:line="269" w:lineRule="exact"/>
        <w:ind w:left="360"/>
        <w:jc w:val="both"/>
        <w:rPr>
          <w:rFonts w:ascii="Arial" w:hAnsi="Arial" w:cs="Arial"/>
          <w:color w:val="000000" w:themeColor="text1"/>
          <w:spacing w:val="2"/>
          <w:sz w:val="22"/>
          <w:szCs w:val="22"/>
        </w:rPr>
      </w:pPr>
      <w:r w:rsidRPr="000A0261">
        <w:rPr>
          <w:rFonts w:ascii="Arial" w:hAnsi="Arial" w:cs="Arial"/>
          <w:color w:val="000000"/>
          <w:spacing w:val="8"/>
          <w:sz w:val="22"/>
          <w:szCs w:val="22"/>
        </w:rPr>
        <w:t xml:space="preserve">najmanje jednom u dvije godine ispitivati teret zagađenja otpadnih voda </w:t>
      </w:r>
      <w:r w:rsidRPr="000A0261">
        <w:rPr>
          <w:rFonts w:ascii="Arial" w:hAnsi="Arial" w:cs="Arial"/>
          <w:color w:val="000000"/>
          <w:spacing w:val="-3"/>
          <w:sz w:val="22"/>
          <w:szCs w:val="22"/>
        </w:rPr>
        <w:t xml:space="preserve">izražen preko EBS-a u skladu s odredbama </w:t>
      </w:r>
      <w:r w:rsidRPr="000A487C">
        <w:rPr>
          <w:rFonts w:ascii="Arial" w:hAnsi="Arial" w:cs="Arial"/>
          <w:color w:val="000000" w:themeColor="text1"/>
          <w:spacing w:val="-3"/>
          <w:sz w:val="22"/>
          <w:szCs w:val="22"/>
        </w:rPr>
        <w:t>Pravilnika o načinu obračunavanja, postupku i rokovima za obračunavanje i plaćanje i kontroli izmirivanja obaveza na osnovu opće vodne naknade i posebnih vodnih naknada („Službene novine Federacije BiH“, br. 92/07 i 46/09).</w:t>
      </w:r>
      <w:r w:rsidRPr="000A487C">
        <w:rPr>
          <w:rFonts w:ascii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0A487C">
        <w:rPr>
          <w:rFonts w:ascii="Arial" w:hAnsi="Arial" w:cs="Arial"/>
          <w:color w:val="000000" w:themeColor="text1"/>
          <w:spacing w:val="1"/>
          <w:sz w:val="22"/>
          <w:szCs w:val="22"/>
        </w:rPr>
        <w:t>Ispitivanje vrši ovlaštena laboratorija od strane nadležnog ministarstva.</w:t>
      </w:r>
    </w:p>
    <w:p w:rsidR="000A487C" w:rsidRPr="000A487C" w:rsidRDefault="000A487C" w:rsidP="000A487C">
      <w:pPr>
        <w:shd w:val="clear" w:color="auto" w:fill="FFFFFF"/>
        <w:tabs>
          <w:tab w:val="num" w:pos="900"/>
        </w:tabs>
        <w:jc w:val="both"/>
        <w:rPr>
          <w:rFonts w:ascii="Arial" w:hAnsi="Arial" w:cs="Arial"/>
          <w:b/>
          <w:color w:val="000000" w:themeColor="text1"/>
          <w:spacing w:val="1"/>
          <w:sz w:val="22"/>
          <w:szCs w:val="22"/>
        </w:rPr>
      </w:pPr>
    </w:p>
    <w:p w:rsidR="000A487C" w:rsidRPr="000A487C" w:rsidRDefault="000A487C" w:rsidP="000A487C">
      <w:pPr>
        <w:shd w:val="clear" w:color="auto" w:fill="FFFFFF"/>
        <w:jc w:val="both"/>
        <w:rPr>
          <w:rFonts w:ascii="Arial" w:hAnsi="Arial" w:cs="Arial"/>
          <w:b/>
          <w:color w:val="000000" w:themeColor="text1"/>
          <w:spacing w:val="1"/>
          <w:sz w:val="22"/>
          <w:szCs w:val="22"/>
        </w:rPr>
      </w:pPr>
      <w:r w:rsidRPr="000A487C">
        <w:rPr>
          <w:rFonts w:ascii="Arial" w:hAnsi="Arial" w:cs="Arial"/>
          <w:b/>
          <w:color w:val="000000" w:themeColor="text1"/>
          <w:spacing w:val="1"/>
          <w:sz w:val="22"/>
          <w:szCs w:val="22"/>
        </w:rPr>
        <w:t xml:space="preserve">6.3.  Monitoring emisija u zrak </w:t>
      </w:r>
    </w:p>
    <w:p w:rsidR="000A487C" w:rsidRPr="000A487C" w:rsidRDefault="000A487C" w:rsidP="000A487C">
      <w:pPr>
        <w:shd w:val="clear" w:color="auto" w:fill="FFFFFF"/>
        <w:jc w:val="both"/>
        <w:rPr>
          <w:rFonts w:ascii="Arial" w:hAnsi="Arial" w:cs="Arial"/>
          <w:b/>
          <w:color w:val="000000" w:themeColor="text1"/>
          <w:spacing w:val="1"/>
          <w:sz w:val="22"/>
          <w:szCs w:val="22"/>
        </w:rPr>
      </w:pPr>
    </w:p>
    <w:p w:rsidR="000A487C" w:rsidRPr="000A487C" w:rsidRDefault="000A487C" w:rsidP="000A487C">
      <w:pPr>
        <w:numPr>
          <w:ilvl w:val="1"/>
          <w:numId w:val="2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vršiti mjerenje (jednom godišnje) emisije zagađujućih materija na ventilacionim otvorima (ispustima) iz tehnoloških procesa </w:t>
      </w:r>
      <w:r w:rsidRPr="000A487C">
        <w:rPr>
          <w:rFonts w:ascii="Arial" w:hAnsi="Arial" w:cs="Arial"/>
          <w:iCs/>
          <w:color w:val="000000" w:themeColor="text1"/>
          <w:spacing w:val="-4"/>
          <w:sz w:val="22"/>
          <w:szCs w:val="22"/>
        </w:rPr>
        <w:t>proizvodnje diazodinitrofenola (objekat 610), proizvodnje olovnih soli (objekat 222), proizvodnje trinitrorezorcina (objekat 601) i hemijske obrade mehaničkih elemenata inicijatora i elemenata pakovanja (objekat 111A),</w:t>
      </w:r>
      <w:r w:rsidRPr="000A487C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</w:p>
    <w:p w:rsidR="000A487C" w:rsidRPr="000A487C" w:rsidRDefault="000A487C" w:rsidP="000A487C">
      <w:pPr>
        <w:numPr>
          <w:ilvl w:val="1"/>
          <w:numId w:val="2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iCs/>
          <w:color w:val="000000" w:themeColor="text1"/>
          <w:spacing w:val="-4"/>
          <w:sz w:val="22"/>
          <w:szCs w:val="22"/>
        </w:rPr>
      </w:pPr>
      <w:r w:rsidRPr="000A487C">
        <w:rPr>
          <w:rFonts w:ascii="Arial" w:hAnsi="Arial" w:cs="Arial"/>
          <w:iCs/>
          <w:color w:val="000000" w:themeColor="text1"/>
          <w:spacing w:val="-4"/>
          <w:sz w:val="22"/>
          <w:szCs w:val="22"/>
        </w:rPr>
        <w:t>mjerenja vršiti prema na način definisan Pravilnikom o monitoringu emisije zagađujućih materija u zrak („Službene novine Federacije BiH“, broj 9/14 i 97/17).</w:t>
      </w:r>
    </w:p>
    <w:p w:rsidR="000A487C" w:rsidRPr="000A0261" w:rsidRDefault="000A487C" w:rsidP="000A487C">
      <w:pPr>
        <w:numPr>
          <w:ilvl w:val="1"/>
          <w:numId w:val="2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0A0261">
        <w:rPr>
          <w:rFonts w:ascii="Arial" w:hAnsi="Arial" w:cs="Arial"/>
          <w:color w:val="000000"/>
          <w:spacing w:val="-1"/>
          <w:sz w:val="22"/>
          <w:szCs w:val="22"/>
        </w:rPr>
        <w:t xml:space="preserve">U skladu sa čl. 4. Pravilnika o graničnim vrijednostima emisije u zrak iz postrojenja za sagorjevanje („Službene novine Federacije BiH“, br. 3/13 i 92/17), operator je dužan sačiniti Plan mjerenja emisija. U postupku vršenja inspekcijskog nadzora, kako je definirano članom 33. Zakona o zaštiti zraka  („Službene novine Federacije BiH“, br.33/03 i 04/10), inspektor nadležan za poslove zaštite okoliša utvrđuje da li je plan mjerenja emisije pripremljen sukladno odredbama </w:t>
      </w:r>
      <w:r w:rsidRPr="000A0261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iz stavka  2, ovog člana, kao i da li mjerno mjesto na kojem je vršeno mjerenje posjeduje izvještaj iz člana 4. stavak 6. ovog Pravilnika. U slučaju da se utvrdi da operater nema izrađen plan mjerenja i izvještaj o mjerenom mjestu u skladu sa ovim stavom, inspektor nadležan za poslove zaštite okoliša je dužan naložiti ponovo mjerenje i o tome obavijesti nadležno ministarstvo, te Fond za zaštitu okoliša Federacije BiH, ukoliko je operater obaveznik plaćanja naknada.</w:t>
      </w:r>
    </w:p>
    <w:p w:rsidR="000A487C" w:rsidRPr="00856088" w:rsidRDefault="000A487C" w:rsidP="000A487C">
      <w:pPr>
        <w:numPr>
          <w:ilvl w:val="1"/>
          <w:numId w:val="2"/>
        </w:numPr>
        <w:shd w:val="clear" w:color="auto" w:fill="FFFFFF"/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iCs/>
          <w:color w:val="000000"/>
          <w:spacing w:val="-4"/>
          <w:sz w:val="22"/>
          <w:szCs w:val="22"/>
        </w:rPr>
      </w:pPr>
    </w:p>
    <w:p w:rsidR="000A487C" w:rsidRPr="000A0261" w:rsidRDefault="000A487C" w:rsidP="000A487C">
      <w:pPr>
        <w:rPr>
          <w:rFonts w:ascii="Arial" w:hAnsi="Arial" w:cs="Arial"/>
          <w:color w:val="000000"/>
          <w:sz w:val="22"/>
          <w:szCs w:val="22"/>
        </w:rPr>
      </w:pPr>
    </w:p>
    <w:p w:rsidR="000A487C" w:rsidRPr="00856088" w:rsidRDefault="000A487C" w:rsidP="000A487C">
      <w:pPr>
        <w:shd w:val="clear" w:color="auto" w:fill="FFFFFF"/>
        <w:ind w:left="730" w:hanging="730"/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856088">
        <w:rPr>
          <w:rFonts w:ascii="Arial" w:hAnsi="Arial" w:cs="Arial"/>
          <w:b/>
          <w:color w:val="000000"/>
          <w:spacing w:val="-1"/>
          <w:sz w:val="22"/>
          <w:szCs w:val="22"/>
        </w:rPr>
        <w:t>6.4.  Monitoring buke</w:t>
      </w:r>
    </w:p>
    <w:p w:rsidR="000A487C" w:rsidRPr="000A0261" w:rsidRDefault="000A487C" w:rsidP="000A487C">
      <w:pPr>
        <w:shd w:val="clear" w:color="auto" w:fill="FFFFFF"/>
        <w:ind w:left="730" w:hanging="730"/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0A487C" w:rsidRPr="000A0261" w:rsidRDefault="000A487C" w:rsidP="000A487C">
      <w:pPr>
        <w:numPr>
          <w:ilvl w:val="0"/>
          <w:numId w:val="15"/>
        </w:numPr>
        <w:tabs>
          <w:tab w:val="clear" w:pos="1080"/>
          <w:tab w:val="num" w:pos="360"/>
          <w:tab w:val="left" w:pos="54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mjerenja buke izvršiti jednom godišnje za dnevnu i noćnu buku na reprezentativnim mjernim mjestima, </w:t>
      </w:r>
    </w:p>
    <w:p w:rsidR="000A487C" w:rsidRPr="000A0261" w:rsidRDefault="000A487C" w:rsidP="000A487C">
      <w:pPr>
        <w:numPr>
          <w:ilvl w:val="0"/>
          <w:numId w:val="15"/>
        </w:numPr>
        <w:tabs>
          <w:tab w:val="clear" w:pos="1080"/>
          <w:tab w:val="num" w:pos="360"/>
          <w:tab w:val="left" w:pos="54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pacing w:val="2"/>
          <w:sz w:val="22"/>
          <w:szCs w:val="22"/>
        </w:rPr>
        <w:t>ukupan broj mjernih mjesta definirati tokom izvođenja mjerenja obzirom na moguće promjene na lokaciji,</w:t>
      </w:r>
    </w:p>
    <w:p w:rsidR="000A487C" w:rsidRPr="000A487C" w:rsidRDefault="000A487C" w:rsidP="000A487C">
      <w:pPr>
        <w:numPr>
          <w:ilvl w:val="0"/>
          <w:numId w:val="15"/>
        </w:numPr>
        <w:tabs>
          <w:tab w:val="clear" w:pos="1080"/>
          <w:tab w:val="num" w:pos="360"/>
          <w:tab w:val="left" w:pos="54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zapisnik o rezultatima mjerenja dostaviti nadležnom federalnom i 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>kantonalnom ministarstvu.</w:t>
      </w:r>
    </w:p>
    <w:p w:rsidR="000A487C" w:rsidRPr="000A487C" w:rsidRDefault="000A487C" w:rsidP="000A487C">
      <w:pPr>
        <w:pStyle w:val="BodyText3"/>
        <w:spacing w:after="0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0A487C" w:rsidRPr="000A487C" w:rsidRDefault="000A487C" w:rsidP="000A487C">
      <w:pPr>
        <w:pStyle w:val="BodyText3"/>
        <w:spacing w:after="0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 w:rsidRPr="000A487C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7. Izvještavanje</w:t>
      </w:r>
    </w:p>
    <w:p w:rsidR="000A487C" w:rsidRPr="000A487C" w:rsidRDefault="000A487C" w:rsidP="000A487C">
      <w:pPr>
        <w:pStyle w:val="BodyText3"/>
        <w:spacing w:after="0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0A487C" w:rsidRPr="000A487C" w:rsidRDefault="000A487C" w:rsidP="000A487C">
      <w:pPr>
        <w:pStyle w:val="Caption"/>
        <w:rPr>
          <w:rFonts w:ascii="Arial" w:hAnsi="Arial" w:cs="Arial"/>
          <w:b w:val="0"/>
          <w:color w:val="000000" w:themeColor="text1"/>
          <w:sz w:val="22"/>
          <w:szCs w:val="22"/>
          <w:lang w:val="bs-Latn-BA"/>
        </w:rPr>
      </w:pPr>
      <w:r w:rsidRPr="000A487C">
        <w:rPr>
          <w:rFonts w:ascii="Arial" w:hAnsi="Arial" w:cs="Arial"/>
          <w:b w:val="0"/>
          <w:color w:val="000000" w:themeColor="text1"/>
          <w:sz w:val="22"/>
          <w:szCs w:val="22"/>
        </w:rPr>
        <w:t>Tabela 3. I</w:t>
      </w:r>
      <w:r w:rsidRPr="000A487C">
        <w:rPr>
          <w:rFonts w:ascii="Arial" w:hAnsi="Arial" w:cs="Arial"/>
          <w:b w:val="0"/>
          <w:color w:val="000000" w:themeColor="text1"/>
          <w:sz w:val="22"/>
          <w:szCs w:val="22"/>
          <w:lang w:val="bs-Latn-BA"/>
        </w:rPr>
        <w:t>zvještavanje o monitoringu emisija iz pogona i postrojenja</w:t>
      </w:r>
    </w:p>
    <w:p w:rsidR="000A487C" w:rsidRPr="000A487C" w:rsidRDefault="000A487C" w:rsidP="000A487C">
      <w:pPr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2835"/>
        <w:gridCol w:w="3995"/>
        <w:tblGridChange w:id="3">
          <w:tblGrid>
            <w:gridCol w:w="3451"/>
            <w:gridCol w:w="2835"/>
            <w:gridCol w:w="3995"/>
          </w:tblGrid>
        </w:tblGridChange>
      </w:tblGrid>
      <w:tr w:rsidR="000A487C" w:rsidRPr="000A487C" w:rsidTr="000A0261">
        <w:trPr>
          <w:trHeight w:val="470"/>
          <w:jc w:val="center"/>
        </w:trPr>
        <w:tc>
          <w:tcPr>
            <w:tcW w:w="3451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Izvještaj</w:t>
            </w:r>
          </w:p>
        </w:tc>
        <w:tc>
          <w:tcPr>
            <w:tcW w:w="283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Rok za dostavljanje izvještaja</w:t>
            </w:r>
          </w:p>
        </w:tc>
        <w:tc>
          <w:tcPr>
            <w:tcW w:w="399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Kome se dostavlja izvještaj</w:t>
            </w:r>
          </w:p>
        </w:tc>
      </w:tr>
      <w:tr w:rsidR="000A487C" w:rsidRPr="000A487C" w:rsidTr="000A0261">
        <w:trPr>
          <w:jc w:val="center"/>
        </w:trPr>
        <w:tc>
          <w:tcPr>
            <w:tcW w:w="3451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Izvještaj o emisijama u zrak</w:t>
            </w:r>
          </w:p>
        </w:tc>
        <w:tc>
          <w:tcPr>
            <w:tcW w:w="283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  <w:t>Najkasnije do 30.06. za prethodnu godinu</w:t>
            </w:r>
          </w:p>
        </w:tc>
        <w:tc>
          <w:tcPr>
            <w:tcW w:w="399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Federalnom ministarstvu okoliša i turizma</w:t>
            </w:r>
          </w:p>
        </w:tc>
      </w:tr>
      <w:tr w:rsidR="000A487C" w:rsidRPr="000A487C" w:rsidTr="000A0261">
        <w:trPr>
          <w:jc w:val="center"/>
        </w:trPr>
        <w:tc>
          <w:tcPr>
            <w:tcW w:w="3451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Izvještaj o izvršenim mjerenjima kvaliteta tehnoloških otpadnih voda</w:t>
            </w:r>
          </w:p>
        </w:tc>
        <w:tc>
          <w:tcPr>
            <w:tcW w:w="283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  <w:t>Najkasnije do 30.06. za prethodnu godinu (FMOiT)</w:t>
            </w: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  <w:t>Po izvršenom mjerenju (Agencijia)</w:t>
            </w:r>
          </w:p>
        </w:tc>
        <w:tc>
          <w:tcPr>
            <w:tcW w:w="399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 xml:space="preserve"> Agenciji za vodno područje rijeke Save, Sarajevo, dostavlja UNIS "Ginex" d.d. Goražde</w:t>
            </w:r>
          </w:p>
        </w:tc>
      </w:tr>
      <w:tr w:rsidR="000A487C" w:rsidRPr="000A487C" w:rsidTr="000A0261">
        <w:trPr>
          <w:jc w:val="center"/>
        </w:trPr>
        <w:tc>
          <w:tcPr>
            <w:tcW w:w="3451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Izvještaj o izvršenim mjerenjima tereta zagađenja otpadnih voda izražen preko EBS-a</w:t>
            </w:r>
          </w:p>
        </w:tc>
        <w:tc>
          <w:tcPr>
            <w:tcW w:w="283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  <w:t>Najkasnije do 30.06. za prethodnu godinu (FMOiT)</w:t>
            </w: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  <w:t>Po izvršenom mjerenju (Agencija)</w:t>
            </w:r>
          </w:p>
        </w:tc>
        <w:tc>
          <w:tcPr>
            <w:tcW w:w="399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Agenciji za vodno područje rijeke Save, Sarajevo,  dostavlja UNIS " Ginex</w:t>
            </w:r>
            <w:r w:rsidRPr="000A487C" w:rsidDel="006B32A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" d.d. Goražde</w:t>
            </w: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0A487C" w:rsidRPr="000A487C" w:rsidTr="000A0261">
        <w:trPr>
          <w:jc w:val="center"/>
        </w:trPr>
        <w:tc>
          <w:tcPr>
            <w:tcW w:w="3451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Izvještaj o količinama nastalog otpada (opasnog i neopasnog)</w:t>
            </w:r>
          </w:p>
        </w:tc>
        <w:tc>
          <w:tcPr>
            <w:tcW w:w="283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  <w:t>Najkasnije do 30.06. za prethodnu godinu</w:t>
            </w:r>
          </w:p>
        </w:tc>
        <w:tc>
          <w:tcPr>
            <w:tcW w:w="399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 xml:space="preserve">Fond za zaštitu okoliša, nadležno kantonalno ministarstvo </w:t>
            </w:r>
          </w:p>
        </w:tc>
      </w:tr>
      <w:tr w:rsidR="000A487C" w:rsidRPr="000A487C" w:rsidTr="000A0261">
        <w:trPr>
          <w:jc w:val="center"/>
        </w:trPr>
        <w:tc>
          <w:tcPr>
            <w:tcW w:w="3451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>Izvještaji o mjerenju buke</w:t>
            </w:r>
          </w:p>
        </w:tc>
        <w:tc>
          <w:tcPr>
            <w:tcW w:w="283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  <w:t>Najkasnije do 30.06. za prethodnu godinu</w:t>
            </w: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3995" w:type="dxa"/>
          </w:tcPr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 xml:space="preserve">Federalnom ministarstvu okoliša i turizma. </w:t>
            </w:r>
          </w:p>
          <w:p w:rsidR="000A487C" w:rsidRPr="000A487C" w:rsidRDefault="000A487C" w:rsidP="000A0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</w:pPr>
            <w:r w:rsidRPr="000A487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:rsidR="000A487C" w:rsidRPr="000A487C" w:rsidRDefault="000A487C" w:rsidP="000A487C">
      <w:pPr>
        <w:pStyle w:val="BodyText3"/>
        <w:spacing w:after="0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0A487C" w:rsidRPr="000A487C" w:rsidRDefault="000A487C" w:rsidP="000A487C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Investitor je dužan izvještavati Federalno ministarstvo okoliša i turizma o godišnjim emisijama zagađivanja na način kako je to propisano odredbama Poglavlja IV Pravilnika o registrima postrojenja i zagađivanjima („Službene novine Federacije BiH“, broj 82/07) tako što će podatke unositi u elektronske obrasce postavljne na http:/www.prtr.fmoit.gov.ba. Izvještaji moraju biti poslani najkasnije do 30.06. tekuće godine za prethodnu godinu izvještavanja. </w:t>
      </w:r>
    </w:p>
    <w:p w:rsidR="000A487C" w:rsidRPr="000A487C" w:rsidRDefault="000A487C" w:rsidP="000A487C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>Operator je dužan bez odlaganja prijaviti svaku vanrednu situaciju koja značajno utiče na okoliš.</w:t>
      </w:r>
      <w:r w:rsidRPr="000A487C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</w:p>
    <w:p w:rsidR="000A487C" w:rsidRPr="000A487C" w:rsidRDefault="000A487C" w:rsidP="000A487C">
      <w:pPr>
        <w:pStyle w:val="BodyText3"/>
        <w:spacing w:after="0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0A487C" w:rsidRPr="000A487C" w:rsidRDefault="000A487C" w:rsidP="000A487C">
      <w:pPr>
        <w:pStyle w:val="BodyText3"/>
        <w:spacing w:after="0"/>
        <w:ind w:left="360" w:hanging="360"/>
        <w:rPr>
          <w:rFonts w:ascii="Arial" w:hAnsi="Arial" w:cs="Arial"/>
          <w:color w:val="000000" w:themeColor="text1"/>
        </w:rPr>
      </w:pPr>
      <w:r w:rsidRPr="000A487C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lastRenderedPageBreak/>
        <w:t>8. Period važenja dozvole</w:t>
      </w:r>
    </w:p>
    <w:p w:rsidR="000A487C" w:rsidRPr="000A487C" w:rsidRDefault="000A487C" w:rsidP="000A487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>Okolinska dozvola važi pet godina od dana uručenja strankama.</w:t>
      </w:r>
    </w:p>
    <w:p w:rsidR="000A487C" w:rsidRPr="000A487C" w:rsidRDefault="000A487C" w:rsidP="000A487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/>
          <w:bCs/>
          <w:color w:val="000000" w:themeColor="text1"/>
          <w:sz w:val="22"/>
          <w:szCs w:val="22"/>
        </w:rPr>
        <w:t>O b r a z l o ž e n j e</w:t>
      </w:r>
    </w:p>
    <w:p w:rsidR="000A487C" w:rsidRPr="000A487C" w:rsidRDefault="000A487C" w:rsidP="000A487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pStyle w:val="BodyText2"/>
        <w:ind w:firstLine="708"/>
        <w:rPr>
          <w:rFonts w:cs="Arial"/>
          <w:color w:val="000000" w:themeColor="text1"/>
        </w:rPr>
      </w:pPr>
      <w:r w:rsidRPr="000A487C">
        <w:rPr>
          <w:rFonts w:cs="Arial"/>
          <w:color w:val="000000" w:themeColor="text1"/>
        </w:rPr>
        <w:t>Operator Unis „Ginex“ d.d. Goražde podnio je 30.10.2020. godine Federalnom ministarstvu okoliša i turizma zahtjev za izdavanje okolinske dozvole za postojeće pogone i postrojenja za proizvodnju inicirajućih sredstava, eksplozivnih materija i hemikalija, lociranih  u industrijskoj zoni na  adresi  Višegradska bb, Goražde.  Prethodno je izdata okolišna dozvola broj: UP-I 05/2-23-11-153/15 od 12-02-2020. godine.</w:t>
      </w:r>
    </w:p>
    <w:p w:rsidR="000A487C" w:rsidRPr="000A487C" w:rsidRDefault="000A487C" w:rsidP="000A487C">
      <w:pPr>
        <w:pStyle w:val="BodyText2"/>
        <w:ind w:firstLine="708"/>
        <w:rPr>
          <w:rFonts w:cs="Arial"/>
          <w:color w:val="000000" w:themeColor="text1"/>
        </w:rPr>
      </w:pPr>
    </w:p>
    <w:p w:rsidR="000A487C" w:rsidRPr="000A487C" w:rsidRDefault="000A487C" w:rsidP="000A487C">
      <w:pPr>
        <w:pStyle w:val="BodyText2"/>
        <w:ind w:firstLine="708"/>
        <w:rPr>
          <w:rFonts w:cs="Arial"/>
          <w:color w:val="000000" w:themeColor="text1"/>
        </w:rPr>
      </w:pPr>
      <w:r w:rsidRPr="000A487C">
        <w:rPr>
          <w:rFonts w:cs="Arial"/>
          <w:color w:val="000000" w:themeColor="text1"/>
        </w:rPr>
        <w:t>Zahtjev za izdavanje okolinske dozvole u skladu sa članom 54.a (18.) Zakona o zaštiti okoliša („Službene novine Federacije BiH“, br. 33/03 i 38/09) izradio je operator - Unis „Ginex“ d.d. Goražde.</w:t>
      </w:r>
    </w:p>
    <w:p w:rsidR="000A487C" w:rsidRPr="000A487C" w:rsidRDefault="000A487C" w:rsidP="000A487C">
      <w:pPr>
        <w:pStyle w:val="BodyText2"/>
        <w:ind w:firstLine="708"/>
        <w:rPr>
          <w:rFonts w:cs="Arial"/>
          <w:color w:val="000000" w:themeColor="text1"/>
        </w:rPr>
      </w:pPr>
    </w:p>
    <w:p w:rsidR="000A487C" w:rsidRPr="000A487C" w:rsidRDefault="000A487C" w:rsidP="000A48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ab/>
        <w:t xml:space="preserve">Rješavajući zahtjev za izdavanje obnovljene okolinske dozvole operatora Unis „Ginex“ d.d. Goražde, a polazeći od odredbi člana 67. Zakona o zaštiti okoliša („Službene novine Federacije BiH“, br. 33/03 i 38/09) propisujući opće obaveze koje operator treba ispuniti tokom rada i prestanka rada pogona, a koje se kao standardi moraju primjeniti prilikom izdavanja okolinske dozvole, te uzimajući u obzir sadržaj dokumentacije za obnavljanje okolinske dozvolu prezentirane u zahtjevu koji je ocijenjen prihvatljivim,  BREF - dokument o najboljim raspoloživim tehnikama u tehnologiji, kao i specifičnosti odnosnih pogona i postrojenja, ovo Federalno ministarstvo je ocijenilo da će se propisanim mjerama i uvjetima postići odgovarajući stepen zaštite okoliša, te da je operator već izvršio i/ili provodi većinu mjera koje su mu propisane prethodnom okolinskom dozvolom, pa je odlučeno  kao u dispozitivu rješenja.   </w:t>
      </w:r>
    </w:p>
    <w:p w:rsidR="000A487C" w:rsidRPr="000A487C" w:rsidRDefault="000A487C" w:rsidP="000A48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0A487C" w:rsidRPr="000A487C" w:rsidRDefault="000A487C" w:rsidP="000A48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0A487C">
        <w:rPr>
          <w:rFonts w:ascii="Arial" w:hAnsi="Arial" w:cs="Arial"/>
          <w:color w:val="000000" w:themeColor="text1"/>
          <w:sz w:val="22"/>
          <w:szCs w:val="22"/>
        </w:rPr>
        <w:tab/>
        <w:t xml:space="preserve"> Pri donošenju odluke kao u dispozitivu ovog rješenja Federalno ministarstvo okoliša i turizma cijenilo je kao relevantne slijedeće dostavljene dokaze:</w:t>
      </w:r>
    </w:p>
    <w:p w:rsidR="000A487C" w:rsidRPr="000A487C" w:rsidRDefault="000A487C" w:rsidP="000A487C">
      <w:pPr>
        <w:pStyle w:val="Title"/>
        <w:numPr>
          <w:ilvl w:val="0"/>
          <w:numId w:val="39"/>
        </w:numPr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Izvod iz prostorno planske dokumentacije, </w:t>
      </w:r>
    </w:p>
    <w:p w:rsidR="000A487C" w:rsidRPr="000A487C" w:rsidRDefault="000A487C" w:rsidP="000A487C">
      <w:pPr>
        <w:pStyle w:val="Title"/>
        <w:numPr>
          <w:ilvl w:val="0"/>
          <w:numId w:val="39"/>
        </w:numPr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Rješenje o vodnoj dozvoli, izdato od Ministarstva za privredu Bosansko-podrinjskog kantona, a koje se odnosi na zahvatanje vode iz Podhranjenskog potoka (u svrhu  snabdjevanja tehnološkom vodom)  i za ispuštanje sanitarnih otpadnih voda, </w:t>
      </w:r>
    </w:p>
    <w:p w:rsidR="000A487C" w:rsidRPr="000A487C" w:rsidRDefault="000A487C" w:rsidP="000A487C">
      <w:pPr>
        <w:pStyle w:val="Title"/>
        <w:numPr>
          <w:ilvl w:val="0"/>
          <w:numId w:val="39"/>
        </w:numPr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 w:val="0"/>
          <w:color w:val="000000" w:themeColor="text1"/>
          <w:sz w:val="22"/>
          <w:szCs w:val="22"/>
        </w:rPr>
        <w:t>Rješenje o vodnoj dozvoli, , izdato od strane Agencije za vodno područje rijeke Save, Sarajevo, a koja se odnosi za ispuštanje tehnoloških otpadnih voda iz Pogona površinske zaštite i Pogona proizvodnje inicijalnih sredstava u zajednički industijski kolektor,a zatim u Pothranjenski potok,</w:t>
      </w:r>
    </w:p>
    <w:p w:rsidR="000A487C" w:rsidRPr="000A487C" w:rsidRDefault="000A487C" w:rsidP="000A487C">
      <w:pPr>
        <w:pStyle w:val="Title"/>
        <w:numPr>
          <w:ilvl w:val="0"/>
          <w:numId w:val="39"/>
        </w:numPr>
        <w:tabs>
          <w:tab w:val="clear" w:pos="1080"/>
          <w:tab w:val="num" w:pos="567"/>
        </w:tabs>
        <w:ind w:left="540" w:hanging="25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 w:val="0"/>
          <w:color w:val="000000" w:themeColor="text1"/>
          <w:sz w:val="22"/>
          <w:szCs w:val="22"/>
        </w:rPr>
        <w:t>Izvještaj o mjerenju u nultom stanju,  juni 2007. godine,</w:t>
      </w:r>
    </w:p>
    <w:p w:rsidR="000A487C" w:rsidRPr="000A487C" w:rsidRDefault="000A487C" w:rsidP="000A487C">
      <w:pPr>
        <w:numPr>
          <w:ilvl w:val="0"/>
          <w:numId w:val="28"/>
        </w:numPr>
        <w:shd w:val="clear" w:color="auto" w:fill="FFFFFF"/>
        <w:tabs>
          <w:tab w:val="clear" w:pos="1080"/>
          <w:tab w:val="num" w:pos="567"/>
        </w:tabs>
        <w:ind w:left="567" w:hanging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Ugovor  o čišćenju bioloških i septičkih jama,  </w:t>
      </w:r>
    </w:p>
    <w:p w:rsidR="000A487C" w:rsidRPr="000A487C" w:rsidRDefault="000A487C" w:rsidP="000A487C">
      <w:pPr>
        <w:numPr>
          <w:ilvl w:val="0"/>
          <w:numId w:val="28"/>
        </w:numPr>
        <w:shd w:val="clear" w:color="auto" w:fill="FFFFFF"/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Ugovor o skupljanju, skladištenju i zbrinjavanju opasnog otpada, </w:t>
      </w:r>
    </w:p>
    <w:p w:rsidR="000A487C" w:rsidRPr="000A487C" w:rsidRDefault="000A487C" w:rsidP="000A487C">
      <w:pPr>
        <w:numPr>
          <w:ilvl w:val="0"/>
          <w:numId w:val="28"/>
        </w:numPr>
        <w:shd w:val="clear" w:color="auto" w:fill="FFFFFF"/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>Ugovor o odvozu i deponovanju komunalnog otpada iz kruga preduzeća,</w:t>
      </w:r>
    </w:p>
    <w:p w:rsidR="000A487C" w:rsidRPr="000A487C" w:rsidRDefault="000A487C" w:rsidP="000A487C">
      <w:pPr>
        <w:numPr>
          <w:ilvl w:val="0"/>
          <w:numId w:val="28"/>
        </w:numPr>
        <w:shd w:val="clear" w:color="auto" w:fill="FFFFFF"/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>Plan upravljanja otpadom</w:t>
      </w:r>
    </w:p>
    <w:p w:rsidR="000A487C" w:rsidRPr="000A487C" w:rsidRDefault="000A487C" w:rsidP="000A487C">
      <w:pPr>
        <w:numPr>
          <w:ilvl w:val="0"/>
          <w:numId w:val="28"/>
        </w:numPr>
        <w:shd w:val="clear" w:color="auto" w:fill="FFFFFF"/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Procjena ugroženosti od požara i </w:t>
      </w:r>
    </w:p>
    <w:p w:rsidR="000A487C" w:rsidRPr="000A487C" w:rsidRDefault="000A487C" w:rsidP="000A487C">
      <w:pPr>
        <w:numPr>
          <w:ilvl w:val="0"/>
          <w:numId w:val="28"/>
        </w:numPr>
        <w:shd w:val="clear" w:color="auto" w:fill="FFFFFF"/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>Plan zaštite od požara.</w:t>
      </w:r>
    </w:p>
    <w:p w:rsidR="000A487C" w:rsidRPr="000A487C" w:rsidRDefault="000A487C" w:rsidP="000A487C">
      <w:pPr>
        <w:tabs>
          <w:tab w:val="num" w:pos="720"/>
          <w:tab w:val="left" w:pos="1152"/>
        </w:tabs>
        <w:ind w:hanging="18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:rsidR="000A487C" w:rsidRPr="000A487C" w:rsidRDefault="000A487C" w:rsidP="000A487C">
      <w:pPr>
        <w:pStyle w:val="BodyText2"/>
        <w:ind w:firstLine="540"/>
        <w:rPr>
          <w:rFonts w:cs="Arial"/>
          <w:color w:val="000000" w:themeColor="text1"/>
          <w:lang w:val="en-US"/>
        </w:rPr>
      </w:pPr>
      <w:r w:rsidRPr="000A487C">
        <w:rPr>
          <w:rFonts w:cs="Arial"/>
          <w:color w:val="000000" w:themeColor="text1"/>
          <w:lang w:val="en-US"/>
        </w:rPr>
        <w:t xml:space="preserve">Dana </w:t>
      </w:r>
      <w:r w:rsidRPr="000A487C">
        <w:rPr>
          <w:rFonts w:cs="Arial"/>
          <w:color w:val="000000" w:themeColor="text1"/>
        </w:rPr>
        <w:t>19. 11 2020. godine</w:t>
      </w:r>
      <w:r w:rsidRPr="000A487C">
        <w:rPr>
          <w:rFonts w:cs="Arial"/>
          <w:color w:val="000000" w:themeColor="text1"/>
          <w:lang w:val="en-US"/>
        </w:rPr>
        <w:t xml:space="preserve"> Ministarsvo se obratilo Federalnoj upravi za inspekcijske poslove i </w:t>
      </w:r>
      <w:r w:rsidRPr="000A487C">
        <w:rPr>
          <w:rFonts w:cs="Arial"/>
          <w:color w:val="000000" w:themeColor="text1"/>
          <w:lang w:val="en-US"/>
        </w:rPr>
        <w:t>zatraž</w:t>
      </w:r>
      <w:r w:rsidRPr="000A487C">
        <w:rPr>
          <w:rFonts w:cs="Arial"/>
          <w:color w:val="000000" w:themeColor="text1"/>
          <w:lang w:val="en-US"/>
        </w:rPr>
        <w:t>ilo</w:t>
      </w:r>
      <w:r w:rsidRPr="000A487C">
        <w:rPr>
          <w:rFonts w:cs="Arial"/>
          <w:color w:val="000000" w:themeColor="text1"/>
          <w:lang w:val="en-US"/>
        </w:rPr>
        <w:t xml:space="preserve"> </w:t>
      </w:r>
      <w:r w:rsidRPr="000A487C">
        <w:rPr>
          <w:rFonts w:cs="Arial"/>
          <w:color w:val="000000" w:themeColor="text1"/>
          <w:lang w:val="en-US"/>
        </w:rPr>
        <w:t xml:space="preserve">zapisnice u vezi obavljenih inspekcijskih nalaza za operatora </w:t>
      </w:r>
      <w:r w:rsidRPr="000A487C">
        <w:rPr>
          <w:rFonts w:cs="Arial"/>
          <w:color w:val="000000" w:themeColor="text1"/>
        </w:rPr>
        <w:t>Unis „Ginex“ d.d. Goražde</w:t>
      </w:r>
      <w:r w:rsidRPr="000A487C">
        <w:rPr>
          <w:rFonts w:cs="Arial"/>
          <w:color w:val="000000" w:themeColor="text1"/>
          <w:lang w:val="en-US"/>
        </w:rPr>
        <w:t>. Dopisom Federalne uprave za inspekcijske poslove broj 10-19-7-</w:t>
      </w:r>
      <w:r w:rsidRPr="000A487C">
        <w:rPr>
          <w:rFonts w:cs="Arial"/>
          <w:color w:val="000000" w:themeColor="text1"/>
          <w:lang w:val="en-US"/>
        </w:rPr>
        <w:t>05</w:t>
      </w:r>
      <w:r w:rsidRPr="000A487C">
        <w:rPr>
          <w:rFonts w:cs="Arial"/>
          <w:color w:val="000000" w:themeColor="text1"/>
          <w:lang w:val="en-US"/>
        </w:rPr>
        <w:t>410/2020-1005-2 – P od 14.12.2020. godine, dostavljeni su zapisnici:</w:t>
      </w:r>
    </w:p>
    <w:p w:rsidR="000A487C" w:rsidRPr="000A487C" w:rsidRDefault="000A487C" w:rsidP="000A487C">
      <w:pPr>
        <w:pStyle w:val="Default"/>
        <w:numPr>
          <w:ilvl w:val="0"/>
          <w:numId w:val="50"/>
        </w:numPr>
        <w:jc w:val="both"/>
        <w:rPr>
          <w:color w:val="000000" w:themeColor="text1"/>
          <w:sz w:val="22"/>
          <w:szCs w:val="22"/>
        </w:rPr>
      </w:pPr>
      <w:r w:rsidRPr="000A487C">
        <w:rPr>
          <w:color w:val="000000" w:themeColor="text1"/>
          <w:sz w:val="22"/>
          <w:szCs w:val="22"/>
        </w:rPr>
        <w:t xml:space="preserve">zapisnik o inspekcijskom nadzoru broj UP1-10-23-7- </w:t>
      </w:r>
      <w:r w:rsidRPr="000A487C">
        <w:rPr>
          <w:color w:val="000000" w:themeColor="text1"/>
          <w:sz w:val="22"/>
          <w:szCs w:val="22"/>
        </w:rPr>
        <w:t>00</w:t>
      </w:r>
      <w:r w:rsidRPr="000A487C">
        <w:rPr>
          <w:color w:val="000000" w:themeColor="text1"/>
          <w:sz w:val="22"/>
          <w:szCs w:val="22"/>
        </w:rPr>
        <w:t>073/</w:t>
      </w:r>
      <w:r w:rsidRPr="000A487C">
        <w:rPr>
          <w:color w:val="000000" w:themeColor="text1"/>
          <w:sz w:val="22"/>
          <w:szCs w:val="22"/>
        </w:rPr>
        <w:t>20</w:t>
      </w:r>
      <w:r w:rsidRPr="000A487C">
        <w:rPr>
          <w:color w:val="000000" w:themeColor="text1"/>
          <w:sz w:val="22"/>
          <w:szCs w:val="22"/>
        </w:rPr>
        <w:t>20-1005-1--P-, od 11.</w:t>
      </w:r>
      <w:r w:rsidRPr="000A487C">
        <w:rPr>
          <w:color w:val="000000" w:themeColor="text1"/>
          <w:sz w:val="22"/>
          <w:szCs w:val="22"/>
        </w:rPr>
        <w:t>1</w:t>
      </w:r>
      <w:r w:rsidRPr="000A487C">
        <w:rPr>
          <w:color w:val="000000" w:themeColor="text1"/>
          <w:sz w:val="22"/>
          <w:szCs w:val="22"/>
        </w:rPr>
        <w:t>1.</w:t>
      </w:r>
      <w:r w:rsidRPr="000A487C">
        <w:rPr>
          <w:color w:val="000000" w:themeColor="text1"/>
          <w:sz w:val="22"/>
          <w:szCs w:val="22"/>
        </w:rPr>
        <w:t>201</w:t>
      </w:r>
      <w:r w:rsidRPr="000A487C">
        <w:rPr>
          <w:color w:val="000000" w:themeColor="text1"/>
          <w:sz w:val="22"/>
          <w:szCs w:val="22"/>
        </w:rPr>
        <w:t>5. godine,</w:t>
      </w:r>
      <w:r w:rsidRPr="000A487C">
        <w:rPr>
          <w:color w:val="000000" w:themeColor="text1"/>
          <w:sz w:val="22"/>
          <w:szCs w:val="22"/>
          <w:lang w:val="en-US"/>
        </w:rPr>
        <w:t xml:space="preserve"> </w:t>
      </w:r>
    </w:p>
    <w:p w:rsidR="000A487C" w:rsidRPr="000A487C" w:rsidRDefault="000A487C" w:rsidP="000A487C">
      <w:pPr>
        <w:pStyle w:val="Default"/>
        <w:numPr>
          <w:ilvl w:val="0"/>
          <w:numId w:val="50"/>
        </w:numPr>
        <w:jc w:val="both"/>
        <w:rPr>
          <w:color w:val="000000" w:themeColor="text1"/>
          <w:sz w:val="22"/>
          <w:szCs w:val="22"/>
        </w:rPr>
      </w:pPr>
      <w:r w:rsidRPr="000A487C">
        <w:rPr>
          <w:color w:val="000000" w:themeColor="text1"/>
          <w:sz w:val="22"/>
          <w:szCs w:val="22"/>
        </w:rPr>
        <w:t>zapisnik o inspekcijskom nadzoru broj UP1-10-23-3-</w:t>
      </w:r>
      <w:r w:rsidRPr="000A487C">
        <w:rPr>
          <w:color w:val="000000" w:themeColor="text1"/>
          <w:sz w:val="22"/>
          <w:szCs w:val="22"/>
        </w:rPr>
        <w:t>00</w:t>
      </w:r>
      <w:r w:rsidRPr="000A487C">
        <w:rPr>
          <w:color w:val="000000" w:themeColor="text1"/>
          <w:sz w:val="22"/>
          <w:szCs w:val="22"/>
        </w:rPr>
        <w:t>107/2017-1005-1-P od 07.7.</w:t>
      </w:r>
      <w:r w:rsidRPr="000A487C">
        <w:rPr>
          <w:color w:val="000000" w:themeColor="text1"/>
          <w:sz w:val="22"/>
          <w:szCs w:val="22"/>
        </w:rPr>
        <w:t>201</w:t>
      </w:r>
      <w:r w:rsidRPr="000A487C">
        <w:rPr>
          <w:color w:val="000000" w:themeColor="text1"/>
          <w:sz w:val="22"/>
          <w:szCs w:val="22"/>
        </w:rPr>
        <w:t>7.</w:t>
      </w:r>
      <w:r w:rsidRPr="000A487C">
        <w:rPr>
          <w:color w:val="000000" w:themeColor="text1"/>
          <w:sz w:val="22"/>
          <w:szCs w:val="22"/>
          <w:lang w:val="en-US"/>
        </w:rPr>
        <w:t xml:space="preserve"> </w:t>
      </w:r>
      <w:r w:rsidRPr="000A487C">
        <w:rPr>
          <w:color w:val="000000" w:themeColor="text1"/>
          <w:sz w:val="22"/>
          <w:szCs w:val="22"/>
        </w:rPr>
        <w:t>godine,</w:t>
      </w:r>
    </w:p>
    <w:p w:rsidR="000A487C" w:rsidRPr="000A487C" w:rsidRDefault="000A487C" w:rsidP="000A487C">
      <w:pPr>
        <w:pStyle w:val="Default"/>
        <w:numPr>
          <w:ilvl w:val="0"/>
          <w:numId w:val="50"/>
        </w:numPr>
        <w:jc w:val="both"/>
        <w:rPr>
          <w:color w:val="000000" w:themeColor="text1"/>
          <w:sz w:val="22"/>
          <w:szCs w:val="22"/>
        </w:rPr>
      </w:pPr>
      <w:r w:rsidRPr="000A487C">
        <w:rPr>
          <w:color w:val="000000" w:themeColor="text1"/>
          <w:sz w:val="22"/>
          <w:szCs w:val="22"/>
        </w:rPr>
        <w:t>zapisnik o inspekcijskom nadzoru broj UP1-10-23-3-</w:t>
      </w:r>
      <w:r w:rsidRPr="000A487C">
        <w:rPr>
          <w:color w:val="000000" w:themeColor="text1"/>
          <w:sz w:val="22"/>
          <w:szCs w:val="22"/>
        </w:rPr>
        <w:t>00</w:t>
      </w:r>
      <w:r w:rsidRPr="000A487C">
        <w:rPr>
          <w:color w:val="000000" w:themeColor="text1"/>
          <w:sz w:val="22"/>
          <w:szCs w:val="22"/>
        </w:rPr>
        <w:t>038/2019-1005-1--P- od 24.4.2019.</w:t>
      </w:r>
      <w:r w:rsidRPr="000A487C">
        <w:rPr>
          <w:color w:val="000000" w:themeColor="text1"/>
          <w:sz w:val="22"/>
          <w:szCs w:val="22"/>
          <w:lang w:val="en-US"/>
        </w:rPr>
        <w:t xml:space="preserve"> </w:t>
      </w:r>
      <w:r w:rsidRPr="000A487C">
        <w:rPr>
          <w:color w:val="000000" w:themeColor="text1"/>
          <w:sz w:val="22"/>
          <w:szCs w:val="22"/>
        </w:rPr>
        <w:t>godine i</w:t>
      </w:r>
    </w:p>
    <w:p w:rsidR="000A487C" w:rsidRPr="000A487C" w:rsidRDefault="000A487C" w:rsidP="000A487C">
      <w:pPr>
        <w:pStyle w:val="Default"/>
        <w:numPr>
          <w:ilvl w:val="0"/>
          <w:numId w:val="50"/>
        </w:numPr>
        <w:jc w:val="both"/>
        <w:rPr>
          <w:color w:val="000000" w:themeColor="text1"/>
          <w:sz w:val="22"/>
          <w:szCs w:val="22"/>
        </w:rPr>
      </w:pPr>
      <w:r w:rsidRPr="000A487C">
        <w:rPr>
          <w:color w:val="000000" w:themeColor="text1"/>
          <w:sz w:val="22"/>
          <w:szCs w:val="22"/>
        </w:rPr>
        <w:lastRenderedPageBreak/>
        <w:t>zapisnik o inspekcijskom nadzoru broj UP1-10-19-3-</w:t>
      </w:r>
      <w:r w:rsidRPr="000A487C">
        <w:rPr>
          <w:color w:val="000000" w:themeColor="text1"/>
          <w:sz w:val="22"/>
          <w:szCs w:val="22"/>
        </w:rPr>
        <w:t>000</w:t>
      </w:r>
      <w:r w:rsidRPr="000A487C">
        <w:rPr>
          <w:color w:val="000000" w:themeColor="text1"/>
          <w:sz w:val="22"/>
          <w:szCs w:val="22"/>
        </w:rPr>
        <w:t>85/</w:t>
      </w:r>
      <w:r w:rsidRPr="000A487C">
        <w:rPr>
          <w:color w:val="000000" w:themeColor="text1"/>
          <w:sz w:val="22"/>
          <w:szCs w:val="22"/>
        </w:rPr>
        <w:t>20</w:t>
      </w:r>
      <w:r w:rsidRPr="000A487C">
        <w:rPr>
          <w:color w:val="000000" w:themeColor="text1"/>
          <w:sz w:val="22"/>
          <w:szCs w:val="22"/>
        </w:rPr>
        <w:t>20-1005-1-P od 09.11.2020.</w:t>
      </w:r>
      <w:r w:rsidRPr="000A487C">
        <w:rPr>
          <w:color w:val="000000" w:themeColor="text1"/>
          <w:sz w:val="22"/>
          <w:szCs w:val="22"/>
          <w:lang w:val="en-US"/>
        </w:rPr>
        <w:t xml:space="preserve"> </w:t>
      </w:r>
      <w:r w:rsidRPr="000A487C">
        <w:rPr>
          <w:color w:val="000000" w:themeColor="text1"/>
          <w:sz w:val="22"/>
          <w:szCs w:val="22"/>
        </w:rPr>
        <w:t>godine.</w:t>
      </w:r>
    </w:p>
    <w:p w:rsidR="000A487C" w:rsidRPr="000A487C" w:rsidRDefault="000A487C" w:rsidP="000A487C">
      <w:pPr>
        <w:pStyle w:val="BodyText2"/>
        <w:rPr>
          <w:rFonts w:cs="Arial"/>
          <w:color w:val="000000" w:themeColor="text1"/>
        </w:rPr>
      </w:pPr>
    </w:p>
    <w:p w:rsidR="000A487C" w:rsidRPr="000A487C" w:rsidRDefault="000A487C" w:rsidP="000A487C">
      <w:pPr>
        <w:pStyle w:val="BodyText2"/>
        <w:rPr>
          <w:rFonts w:cs="Arial"/>
          <w:color w:val="000000" w:themeColor="text1"/>
        </w:rPr>
      </w:pPr>
      <w:r w:rsidRPr="000A487C">
        <w:rPr>
          <w:rFonts w:cs="Arial"/>
          <w:color w:val="000000" w:themeColor="text1"/>
        </w:rPr>
        <w:t>Na osnovu:</w:t>
      </w:r>
    </w:p>
    <w:p w:rsidR="000A487C" w:rsidRPr="000A487C" w:rsidRDefault="000A487C" w:rsidP="000A487C">
      <w:pPr>
        <w:pStyle w:val="BodyText2"/>
        <w:numPr>
          <w:ilvl w:val="0"/>
          <w:numId w:val="49"/>
        </w:numPr>
        <w:rPr>
          <w:rFonts w:cs="Arial"/>
          <w:noProof/>
          <w:color w:val="000000" w:themeColor="text1"/>
        </w:rPr>
      </w:pPr>
      <w:r w:rsidRPr="000A487C">
        <w:rPr>
          <w:rFonts w:cs="Arial"/>
          <w:color w:val="000000" w:themeColor="text1"/>
        </w:rPr>
        <w:t xml:space="preserve">uvida u inspekcijske nalaze, </w:t>
      </w:r>
    </w:p>
    <w:p w:rsidR="000A487C" w:rsidRPr="000A487C" w:rsidRDefault="000A487C" w:rsidP="000A487C">
      <w:pPr>
        <w:pStyle w:val="BodyText2"/>
        <w:numPr>
          <w:ilvl w:val="0"/>
          <w:numId w:val="49"/>
        </w:numPr>
        <w:rPr>
          <w:rFonts w:cs="Arial"/>
          <w:color w:val="000000" w:themeColor="text1"/>
        </w:rPr>
      </w:pPr>
      <w:r w:rsidRPr="000A487C">
        <w:rPr>
          <w:rFonts w:cs="Arial"/>
          <w:color w:val="000000" w:themeColor="text1"/>
        </w:rPr>
        <w:t>dostavljenih izvještaja za registar o postrojenjima i zagađivanjima – PRTR sukladno Pravilniku o registru postrojenja i zagađivanja („Službene novine Federacije BiH“, broj 82/07),</w:t>
      </w:r>
    </w:p>
    <w:p w:rsidR="000A487C" w:rsidRPr="000A487C" w:rsidRDefault="000A487C" w:rsidP="000A487C">
      <w:pPr>
        <w:pStyle w:val="BodyText2"/>
        <w:numPr>
          <w:ilvl w:val="0"/>
          <w:numId w:val="49"/>
        </w:numPr>
        <w:rPr>
          <w:rFonts w:cs="Arial"/>
          <w:color w:val="000000" w:themeColor="text1"/>
        </w:rPr>
      </w:pPr>
      <w:r w:rsidRPr="000A487C">
        <w:rPr>
          <w:rFonts w:cs="Arial"/>
          <w:color w:val="000000" w:themeColor="text1"/>
        </w:rPr>
        <w:t>izvještavanja o provedenom monitoringu koji je propisan okolinskom dozvolom,</w:t>
      </w:r>
    </w:p>
    <w:p w:rsidR="000A487C" w:rsidRPr="000A487C" w:rsidRDefault="000A487C" w:rsidP="000A487C">
      <w:pPr>
        <w:pStyle w:val="BodyText2"/>
        <w:numPr>
          <w:ilvl w:val="0"/>
          <w:numId w:val="49"/>
        </w:numPr>
        <w:rPr>
          <w:rFonts w:cs="Arial"/>
          <w:color w:val="000000" w:themeColor="text1"/>
        </w:rPr>
      </w:pPr>
      <w:r w:rsidRPr="000A487C">
        <w:rPr>
          <w:rFonts w:cs="Arial"/>
          <w:color w:val="000000" w:themeColor="text1"/>
        </w:rPr>
        <w:t xml:space="preserve">usporedbe stanja propisanih i provedih mjera </w:t>
      </w:r>
      <w:r w:rsidRPr="000A487C">
        <w:rPr>
          <w:rFonts w:cs="Arial"/>
          <w:color w:val="000000" w:themeColor="text1"/>
        </w:rPr>
        <w:t>201</w:t>
      </w:r>
      <w:r w:rsidRPr="000A487C">
        <w:rPr>
          <w:rFonts w:cs="Arial"/>
          <w:color w:val="000000" w:themeColor="text1"/>
        </w:rPr>
        <w:t xml:space="preserve">6. i </w:t>
      </w:r>
      <w:r w:rsidRPr="000A487C">
        <w:rPr>
          <w:rFonts w:cs="Arial"/>
          <w:color w:val="000000" w:themeColor="text1"/>
        </w:rPr>
        <w:t>20</w:t>
      </w:r>
      <w:r w:rsidRPr="000A487C">
        <w:rPr>
          <w:rFonts w:cs="Arial"/>
          <w:color w:val="000000" w:themeColor="text1"/>
        </w:rPr>
        <w:t>20. godine, ocijenjeno je da su ispunjeni zakonom utvrđeni pre</w:t>
      </w:r>
      <w:bookmarkStart w:id="4" w:name="_GoBack"/>
      <w:bookmarkEnd w:id="4"/>
      <w:r w:rsidRPr="000A487C">
        <w:rPr>
          <w:rFonts w:cs="Arial"/>
          <w:color w:val="000000" w:themeColor="text1"/>
        </w:rPr>
        <w:t xml:space="preserve">duvjeti za obnovu okolinske dozvole u smislu čl. 86. Zakona o zaštiti okoliša, tako da je sukladno čl. 68 i čl. 71. Zakona o zaštiti okoliša odlučeno kao u dispozitivu ovog rješenja. </w:t>
      </w:r>
    </w:p>
    <w:p w:rsidR="000A487C" w:rsidRPr="000A487C" w:rsidRDefault="000A487C" w:rsidP="000A487C">
      <w:pPr>
        <w:tabs>
          <w:tab w:val="left" w:pos="1152"/>
        </w:tabs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:rsidR="000A487C" w:rsidRPr="000A487C" w:rsidRDefault="000A487C" w:rsidP="000A48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   Ovo rješenje je konačno u upravnom postupku i protiv istog nije dopuštena žalba. </w:t>
      </w:r>
    </w:p>
    <w:p w:rsidR="000A487C" w:rsidRPr="000A487C" w:rsidRDefault="000A487C" w:rsidP="000A48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Protiv ovog rješenja može se pokrenuti upravni spor podnošenjem tužbe kod Kantonalnog suda u Sarajevu u roku od 30 dana od dana prijema rješenja. Tužba se podnosi u dva istovjetna primjerka i uz istu se prilaže ovo rješenje u originalu ili ovjerenom prepisu. </w:t>
      </w:r>
    </w:p>
    <w:p w:rsidR="000A487C" w:rsidRPr="000A487C" w:rsidRDefault="000A487C" w:rsidP="000A48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A487C" w:rsidRPr="000A487C" w:rsidRDefault="000A487C" w:rsidP="000A487C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color w:val="000000" w:themeColor="text1"/>
          <w:sz w:val="22"/>
          <w:szCs w:val="22"/>
        </w:rPr>
        <w:t xml:space="preserve">U skladu sa Zakonom o federalnim upravnim taksama i tarifi federalnih upravnih taksi („Službene novine Federacije BiH“, broj 43/13) podnosilac zahtjeva je uplatio 250,00 KM na budžetski račun kod UNION banke d.d. Sarajevo. </w:t>
      </w:r>
    </w:p>
    <w:p w:rsidR="000A487C" w:rsidRPr="000A487C" w:rsidRDefault="000A487C" w:rsidP="000A487C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487C" w:rsidRPr="000A487C" w:rsidRDefault="000A487C" w:rsidP="000A487C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0A487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M I N I S T R I C A</w:t>
      </w:r>
    </w:p>
    <w:p w:rsidR="000A487C" w:rsidRPr="000A487C" w:rsidRDefault="000A487C" w:rsidP="000A487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A487C" w:rsidRPr="000A0261" w:rsidRDefault="000A487C" w:rsidP="000A487C">
      <w:pPr>
        <w:rPr>
          <w:rFonts w:ascii="Arial" w:hAnsi="Arial" w:cs="Arial"/>
          <w:b/>
          <w:color w:val="000000"/>
          <w:sz w:val="22"/>
          <w:szCs w:val="22"/>
        </w:rPr>
      </w:pPr>
      <w:r w:rsidRPr="000A026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Pr="000A0261">
        <w:rPr>
          <w:rFonts w:ascii="Arial" w:hAnsi="Arial" w:cs="Arial"/>
          <w:b/>
          <w:color w:val="000000"/>
          <w:sz w:val="22"/>
          <w:szCs w:val="22"/>
        </w:rPr>
        <w:t>dr. Edita Đapo</w:t>
      </w: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487C" w:rsidRPr="000A0261" w:rsidRDefault="000A487C" w:rsidP="000A487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>Dostaviti:</w:t>
      </w:r>
    </w:p>
    <w:p w:rsidR="000A487C" w:rsidRPr="000A0261" w:rsidRDefault="000A487C" w:rsidP="000A487C">
      <w:pPr>
        <w:numPr>
          <w:ilvl w:val="0"/>
          <w:numId w:val="17"/>
        </w:numPr>
        <w:tabs>
          <w:tab w:val="clear" w:pos="1800"/>
          <w:tab w:val="num" w:pos="540"/>
        </w:tabs>
        <w:ind w:left="540" w:hanging="54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 xml:space="preserve">Unis „Ginex“ d.d. Goražde </w:t>
      </w:r>
    </w:p>
    <w:p w:rsidR="000A487C" w:rsidRPr="000A0261" w:rsidRDefault="000A487C" w:rsidP="000A487C">
      <w:pPr>
        <w:numPr>
          <w:ilvl w:val="0"/>
          <w:numId w:val="17"/>
        </w:numPr>
        <w:tabs>
          <w:tab w:val="clear" w:pos="1800"/>
          <w:tab w:val="num" w:pos="540"/>
        </w:tabs>
        <w:ind w:left="540" w:hanging="54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 xml:space="preserve">Ministarstvu za urbanizam, prostorno uređenje i </w:t>
      </w:r>
    </w:p>
    <w:p w:rsidR="000A487C" w:rsidRPr="000A0261" w:rsidRDefault="000A487C" w:rsidP="000A487C">
      <w:pPr>
        <w:ind w:left="54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 xml:space="preserve">zaštitu okoline Bosansko-podrinjskog kantona, </w:t>
      </w:r>
    </w:p>
    <w:p w:rsidR="000A487C" w:rsidRPr="000A0261" w:rsidRDefault="000A487C" w:rsidP="000A487C">
      <w:pPr>
        <w:ind w:left="54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>Višegradska 2a, Goražde</w:t>
      </w:r>
    </w:p>
    <w:p w:rsidR="000A487C" w:rsidRPr="000A0261" w:rsidRDefault="000A487C" w:rsidP="000A487C">
      <w:pPr>
        <w:numPr>
          <w:ilvl w:val="0"/>
          <w:numId w:val="17"/>
        </w:numPr>
        <w:tabs>
          <w:tab w:val="clear" w:pos="1800"/>
          <w:tab w:val="num" w:pos="540"/>
        </w:tabs>
        <w:ind w:left="540" w:hanging="54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 xml:space="preserve">Opštini Goražde, ul. Maršala Tita br.2, Goražde: </w:t>
      </w:r>
    </w:p>
    <w:p w:rsidR="000A487C" w:rsidRPr="000A0261" w:rsidRDefault="000A487C" w:rsidP="000A487C">
      <w:pPr>
        <w:numPr>
          <w:ilvl w:val="0"/>
          <w:numId w:val="17"/>
        </w:numPr>
        <w:tabs>
          <w:tab w:val="clear" w:pos="1800"/>
          <w:tab w:val="num" w:pos="540"/>
        </w:tabs>
        <w:ind w:left="540" w:hanging="54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 xml:space="preserve">Federalnoj  upravi  za inspekcijske poslove, </w:t>
      </w:r>
    </w:p>
    <w:p w:rsidR="000A487C" w:rsidRPr="000A0261" w:rsidRDefault="000A487C" w:rsidP="000A487C">
      <w:pPr>
        <w:ind w:left="54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>Inspekcija zaštite okoliša</w:t>
      </w:r>
    </w:p>
    <w:p w:rsidR="000A487C" w:rsidRPr="00856088" w:rsidRDefault="000A487C" w:rsidP="000A487C">
      <w:pPr>
        <w:numPr>
          <w:ilvl w:val="0"/>
          <w:numId w:val="17"/>
        </w:numPr>
        <w:tabs>
          <w:tab w:val="clear" w:pos="1800"/>
          <w:tab w:val="num" w:pos="540"/>
        </w:tabs>
        <w:ind w:left="540"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Sektoru za okolišne dozvole</w:t>
      </w:r>
    </w:p>
    <w:p w:rsidR="000A487C" w:rsidRPr="000A0261" w:rsidRDefault="000A487C" w:rsidP="000A487C">
      <w:pPr>
        <w:numPr>
          <w:ilvl w:val="0"/>
          <w:numId w:val="12"/>
        </w:numPr>
        <w:tabs>
          <w:tab w:val="clear" w:pos="1080"/>
          <w:tab w:val="num" w:pos="540"/>
        </w:tabs>
        <w:ind w:hanging="1080"/>
        <w:rPr>
          <w:rFonts w:ascii="Arial" w:hAnsi="Arial" w:cs="Arial"/>
          <w:i/>
          <w:color w:val="000000"/>
          <w:sz w:val="22"/>
          <w:szCs w:val="22"/>
        </w:rPr>
      </w:pPr>
      <w:r w:rsidRPr="000A0261">
        <w:rPr>
          <w:rFonts w:ascii="Arial" w:hAnsi="Arial" w:cs="Arial"/>
          <w:i/>
          <w:color w:val="000000"/>
          <w:sz w:val="22"/>
          <w:szCs w:val="22"/>
        </w:rPr>
        <w:t>arhivi</w:t>
      </w:r>
    </w:p>
    <w:p w:rsidR="00A167DC" w:rsidRDefault="00A167DC"/>
    <w:sectPr w:rsidR="00A167DC" w:rsidSect="00E32BC9">
      <w:footerReference w:type="default" r:id="rId5"/>
      <w:pgSz w:w="11906" w:h="16838"/>
      <w:pgMar w:top="899" w:right="849" w:bottom="1417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-Palati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1" w:rsidRDefault="00551D05" w:rsidP="006B32A1">
    <w:pPr>
      <w:pStyle w:val="Footer"/>
      <w:jc w:val="center"/>
      <w:rPr>
        <w:rFonts w:ascii="Arial" w:hAnsi="Arial" w:cs="Arial"/>
        <w:sz w:val="16"/>
        <w:szCs w:val="16"/>
        <w:lang w:val="hr-BA"/>
      </w:rPr>
    </w:pPr>
    <w:r>
      <w:rPr>
        <w:rFonts w:ascii="Arial" w:hAnsi="Arial" w:cs="Arial"/>
        <w:sz w:val="16"/>
        <w:szCs w:val="16"/>
        <w:lang w:val="hr-BA"/>
      </w:rPr>
      <w:t>U.Marka Marulića 2, 71 000 Sarajevo; tel. + 387 33 726 700, fax + 387 33 ,</w:t>
    </w:r>
    <w:r>
      <w:rPr>
        <w:rFonts w:ascii="Arial" w:hAnsi="Arial" w:cs="Arial"/>
        <w:sz w:val="16"/>
        <w:szCs w:val="16"/>
        <w:lang w:val="hr-BA"/>
      </w:rPr>
      <w:t xml:space="preserve">                                                            </w:t>
    </w:r>
  </w:p>
  <w:p w:rsidR="000F64C5" w:rsidRDefault="00551D05" w:rsidP="006B32A1">
    <w:pPr>
      <w:pStyle w:val="Footer"/>
      <w:jc w:val="center"/>
    </w:pPr>
    <w:r>
      <w:rPr>
        <w:rFonts w:ascii="Arial" w:hAnsi="Arial" w:cs="Arial"/>
        <w:sz w:val="16"/>
        <w:szCs w:val="16"/>
        <w:lang w:val="hr-BA"/>
      </w:rPr>
      <w:t xml:space="preserve">                                                                    </w:t>
    </w:r>
    <w:r>
      <w:rPr>
        <w:rFonts w:ascii="Arial" w:hAnsi="Arial" w:cs="Arial"/>
        <w:sz w:val="16"/>
        <w:szCs w:val="16"/>
        <w:lang w:val="hr-BA"/>
      </w:rPr>
      <w:t xml:space="preserve">e-mail: </w:t>
    </w:r>
    <w:r>
      <w:rPr>
        <w:rFonts w:ascii="Arial" w:hAnsi="Arial" w:cs="Arial"/>
        <w:sz w:val="16"/>
        <w:szCs w:val="16"/>
        <w:lang w:val="hr-BA"/>
      </w:rPr>
      <w:t xml:space="preserve">fmoits@bih.net.ba    </w:t>
    </w:r>
    <w:hyperlink r:id="rId1" w:history="1">
      <w:r w:rsidRPr="005E27CE">
        <w:rPr>
          <w:rStyle w:val="Hyperlink"/>
          <w:rFonts w:ascii="Arial" w:hAnsi="Arial" w:cs="Arial"/>
          <w:sz w:val="16"/>
          <w:szCs w:val="16"/>
          <w:lang w:val="hr-BA"/>
        </w:rPr>
        <w:t>www.fmoit.gov.ba</w:t>
      </w:r>
    </w:hyperlink>
    <w:r>
      <w:rPr>
        <w:rFonts w:ascii="Arial" w:hAnsi="Arial" w:cs="Arial"/>
        <w:sz w:val="16"/>
        <w:szCs w:val="16"/>
        <w:lang w:val="hr-BA"/>
      </w:rPr>
      <w:t xml:space="preserve">                                 </w:t>
    </w:r>
    <w:r>
      <w:rPr>
        <w:rFonts w:ascii="Arial" w:hAnsi="Arial" w:cs="Arial"/>
        <w:sz w:val="16"/>
        <w:szCs w:val="16"/>
        <w:lang w:val="hr-BA"/>
      </w:rPr>
      <w:t xml:space="preserve">    </w:t>
    </w:r>
    <w:r w:rsidRPr="004225FD">
      <w:rPr>
        <w:rFonts w:ascii="Arial" w:hAnsi="Arial" w:cs="Arial"/>
        <w:sz w:val="20"/>
        <w:szCs w:val="20"/>
      </w:rPr>
      <w:t xml:space="preserve">Page </w:t>
    </w:r>
    <w:r w:rsidRPr="004225FD">
      <w:rPr>
        <w:rFonts w:ascii="Arial" w:hAnsi="Arial" w:cs="Arial"/>
        <w:b/>
        <w:bCs/>
        <w:sz w:val="20"/>
        <w:szCs w:val="20"/>
      </w:rPr>
      <w:fldChar w:fldCharType="begin"/>
    </w:r>
    <w:r w:rsidRPr="004225FD">
      <w:rPr>
        <w:rFonts w:ascii="Arial" w:hAnsi="Arial" w:cs="Arial"/>
        <w:b/>
        <w:bCs/>
        <w:sz w:val="20"/>
        <w:szCs w:val="20"/>
      </w:rPr>
      <w:instrText xml:space="preserve"> PAGE </w:instrText>
    </w:r>
    <w:r w:rsidRPr="004225F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13</w:t>
    </w:r>
    <w:r w:rsidRPr="004225FD">
      <w:rPr>
        <w:rFonts w:ascii="Arial" w:hAnsi="Arial" w:cs="Arial"/>
        <w:b/>
        <w:bCs/>
        <w:sz w:val="20"/>
        <w:szCs w:val="20"/>
      </w:rPr>
      <w:fldChar w:fldCharType="end"/>
    </w:r>
    <w:r w:rsidRPr="004225FD">
      <w:rPr>
        <w:rFonts w:ascii="Arial" w:hAnsi="Arial" w:cs="Arial"/>
        <w:sz w:val="20"/>
        <w:szCs w:val="20"/>
      </w:rPr>
      <w:t xml:space="preserve"> of </w:t>
    </w:r>
    <w:r w:rsidRPr="004225FD">
      <w:rPr>
        <w:rFonts w:ascii="Arial" w:hAnsi="Arial" w:cs="Arial"/>
        <w:b/>
        <w:bCs/>
        <w:sz w:val="20"/>
        <w:szCs w:val="20"/>
      </w:rPr>
      <w:fldChar w:fldCharType="begin"/>
    </w:r>
    <w:r w:rsidRPr="004225FD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4225F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13</w:t>
    </w:r>
    <w:r w:rsidRPr="004225FD">
      <w:rPr>
        <w:rFonts w:ascii="Arial" w:hAnsi="Arial" w:cs="Arial"/>
        <w:b/>
        <w:bCs/>
        <w:sz w:val="20"/>
        <w:szCs w:val="20"/>
      </w:rPr>
      <w:fldChar w:fldCharType="end"/>
    </w:r>
  </w:p>
  <w:p w:rsidR="000F64C5" w:rsidRDefault="00551D05">
    <w:pPr>
      <w:pStyle w:val="Footer"/>
    </w:pPr>
  </w:p>
  <w:p w:rsidR="000F64C5" w:rsidRDefault="00551D05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762"/>
    <w:multiLevelType w:val="hybridMultilevel"/>
    <w:tmpl w:val="97D66A82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B03"/>
    <w:multiLevelType w:val="hybridMultilevel"/>
    <w:tmpl w:val="7F4033F6"/>
    <w:lvl w:ilvl="0" w:tplc="2C7AA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27CCF"/>
    <w:multiLevelType w:val="hybridMultilevel"/>
    <w:tmpl w:val="E3C46562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A0642"/>
    <w:multiLevelType w:val="hybridMultilevel"/>
    <w:tmpl w:val="868E6FA8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07AB6"/>
    <w:multiLevelType w:val="hybridMultilevel"/>
    <w:tmpl w:val="ED625DAC"/>
    <w:lvl w:ilvl="0" w:tplc="8578CC5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Arial Unicode MS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675DB"/>
    <w:multiLevelType w:val="multilevel"/>
    <w:tmpl w:val="456E17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73A7043"/>
    <w:multiLevelType w:val="hybridMultilevel"/>
    <w:tmpl w:val="F0BE4B26"/>
    <w:lvl w:ilvl="0" w:tplc="9998EB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7" w15:restartNumberingAfterBreak="0">
    <w:nsid w:val="0A7D157D"/>
    <w:multiLevelType w:val="hybridMultilevel"/>
    <w:tmpl w:val="CBE6D6A2"/>
    <w:lvl w:ilvl="0" w:tplc="1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CB1486"/>
    <w:multiLevelType w:val="hybridMultilevel"/>
    <w:tmpl w:val="3ABCA35C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E5CC9"/>
    <w:multiLevelType w:val="hybridMultilevel"/>
    <w:tmpl w:val="C7EC4F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B5CA7"/>
    <w:multiLevelType w:val="hybridMultilevel"/>
    <w:tmpl w:val="C7185656"/>
    <w:lvl w:ilvl="0" w:tplc="2C7AAE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578C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05B64"/>
    <w:multiLevelType w:val="hybridMultilevel"/>
    <w:tmpl w:val="C8F633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A6BF5"/>
    <w:multiLevelType w:val="hybridMultilevel"/>
    <w:tmpl w:val="48B0132C"/>
    <w:lvl w:ilvl="0" w:tplc="A872B7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C7AAE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E6764"/>
    <w:multiLevelType w:val="hybridMultilevel"/>
    <w:tmpl w:val="6D1EB176"/>
    <w:lvl w:ilvl="0" w:tplc="2C7AAE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485928"/>
    <w:multiLevelType w:val="hybridMultilevel"/>
    <w:tmpl w:val="93B277A2"/>
    <w:lvl w:ilvl="0" w:tplc="00D66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02979"/>
    <w:multiLevelType w:val="hybridMultilevel"/>
    <w:tmpl w:val="82C8B3A8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6" w15:restartNumberingAfterBreak="0">
    <w:nsid w:val="24D671A3"/>
    <w:multiLevelType w:val="hybridMultilevel"/>
    <w:tmpl w:val="B462ACC4"/>
    <w:lvl w:ilvl="0" w:tplc="8578CC5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Arial Unicode MS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50B92"/>
    <w:multiLevelType w:val="hybridMultilevel"/>
    <w:tmpl w:val="0302B1C2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E729F"/>
    <w:multiLevelType w:val="hybridMultilevel"/>
    <w:tmpl w:val="0BB09B9C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62497"/>
    <w:multiLevelType w:val="multilevel"/>
    <w:tmpl w:val="BBEAA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6F93AE4"/>
    <w:multiLevelType w:val="hybridMultilevel"/>
    <w:tmpl w:val="9E3832A2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8A3"/>
    <w:multiLevelType w:val="hybridMultilevel"/>
    <w:tmpl w:val="4C664380"/>
    <w:lvl w:ilvl="0" w:tplc="2C7AA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056766"/>
    <w:multiLevelType w:val="hybridMultilevel"/>
    <w:tmpl w:val="098ECFFE"/>
    <w:lvl w:ilvl="0" w:tplc="FFFFFFFF">
      <w:start w:val="1"/>
      <w:numFmt w:val="bullet"/>
      <w:pStyle w:val="Normal1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6E1503"/>
    <w:multiLevelType w:val="hybridMultilevel"/>
    <w:tmpl w:val="08505B70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4623E"/>
    <w:multiLevelType w:val="hybridMultilevel"/>
    <w:tmpl w:val="CC80FF56"/>
    <w:lvl w:ilvl="0" w:tplc="A872B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7AA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976BB"/>
    <w:multiLevelType w:val="hybridMultilevel"/>
    <w:tmpl w:val="47DC0FA6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D5D30"/>
    <w:multiLevelType w:val="multilevel"/>
    <w:tmpl w:val="A5A6430E"/>
    <w:lvl w:ilvl="0">
      <w:start w:val="1"/>
      <w:numFmt w:val="decimal"/>
      <w:pStyle w:val="StyleHeading1Arial"/>
      <w:lvlText w:val="%1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2">
      <w:start w:val="1"/>
      <w:numFmt w:val="decimal"/>
      <w:pStyle w:val="Style1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7" w15:restartNumberingAfterBreak="0">
    <w:nsid w:val="48C0334F"/>
    <w:multiLevelType w:val="hybridMultilevel"/>
    <w:tmpl w:val="446691D0"/>
    <w:lvl w:ilvl="0" w:tplc="9006C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17AF"/>
    <w:multiLevelType w:val="hybridMultilevel"/>
    <w:tmpl w:val="D3F03FD6"/>
    <w:lvl w:ilvl="0" w:tplc="2C7AAE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998EB6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C24DE8"/>
    <w:multiLevelType w:val="hybridMultilevel"/>
    <w:tmpl w:val="21949EBA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4952"/>
    <w:multiLevelType w:val="hybridMultilevel"/>
    <w:tmpl w:val="01127D74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35418"/>
    <w:multiLevelType w:val="hybridMultilevel"/>
    <w:tmpl w:val="59FA3086"/>
    <w:lvl w:ilvl="0" w:tplc="8578C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2C7AAE2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6C472B9"/>
    <w:multiLevelType w:val="hybridMultilevel"/>
    <w:tmpl w:val="E8A6D9B6"/>
    <w:lvl w:ilvl="0" w:tplc="2C7AAE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C25C0F"/>
    <w:multiLevelType w:val="hybridMultilevel"/>
    <w:tmpl w:val="E4366EEC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B7A14"/>
    <w:multiLevelType w:val="hybridMultilevel"/>
    <w:tmpl w:val="6DCCAA42"/>
    <w:lvl w:ilvl="0" w:tplc="2C7AAE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2A79B4"/>
    <w:multiLevelType w:val="hybridMultilevel"/>
    <w:tmpl w:val="4C5A9B64"/>
    <w:lvl w:ilvl="0" w:tplc="2C7AAE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5F11"/>
    <w:multiLevelType w:val="hybridMultilevel"/>
    <w:tmpl w:val="6C381E14"/>
    <w:lvl w:ilvl="0" w:tplc="9998EB68">
      <w:numFmt w:val="bullet"/>
      <w:lvlText w:val="-"/>
      <w:lvlJc w:val="left"/>
      <w:pPr>
        <w:tabs>
          <w:tab w:val="num" w:pos="1087"/>
        </w:tabs>
        <w:ind w:left="1087" w:hanging="360"/>
      </w:pPr>
      <w:rPr>
        <w:rFonts w:ascii="Times New Roman" w:eastAsia="Times New Roman" w:hAnsi="Times New Roman" w:cs="Times New Roman" w:hint="default"/>
      </w:rPr>
    </w:lvl>
    <w:lvl w:ilvl="1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98EB68">
      <w:numFmt w:val="bullet"/>
      <w:lvlText w:val="-"/>
      <w:lvlJc w:val="left"/>
      <w:pPr>
        <w:tabs>
          <w:tab w:val="num" w:pos="2179"/>
        </w:tabs>
        <w:ind w:left="2179" w:hanging="360"/>
      </w:pPr>
      <w:rPr>
        <w:rFonts w:ascii="Times New Roman" w:eastAsia="Times New Roman" w:hAnsi="Times New Roman" w:cs="Times New Roman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7" w15:restartNumberingAfterBreak="0">
    <w:nsid w:val="637D760B"/>
    <w:multiLevelType w:val="hybridMultilevel"/>
    <w:tmpl w:val="BA722668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6103C"/>
    <w:multiLevelType w:val="hybridMultilevel"/>
    <w:tmpl w:val="FC421F00"/>
    <w:lvl w:ilvl="0" w:tplc="2C7AAE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C62F15"/>
    <w:multiLevelType w:val="hybridMultilevel"/>
    <w:tmpl w:val="F2066AD2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94DB4"/>
    <w:multiLevelType w:val="hybridMultilevel"/>
    <w:tmpl w:val="243C7A54"/>
    <w:lvl w:ilvl="0" w:tplc="2C7AAE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6242F"/>
    <w:multiLevelType w:val="hybridMultilevel"/>
    <w:tmpl w:val="A7A84926"/>
    <w:lvl w:ilvl="0" w:tplc="F81E24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90010"/>
    <w:multiLevelType w:val="hybridMultilevel"/>
    <w:tmpl w:val="2B607D74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32CD1"/>
    <w:multiLevelType w:val="hybridMultilevel"/>
    <w:tmpl w:val="8A5A09A6"/>
    <w:lvl w:ilvl="0" w:tplc="9668B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150C0"/>
    <w:multiLevelType w:val="hybridMultilevel"/>
    <w:tmpl w:val="235846AC"/>
    <w:lvl w:ilvl="0" w:tplc="8578CC5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Arial Unicode MS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F6D02"/>
    <w:multiLevelType w:val="hybridMultilevel"/>
    <w:tmpl w:val="8DD47270"/>
    <w:lvl w:ilvl="0" w:tplc="2C7AA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AF6275"/>
    <w:multiLevelType w:val="hybridMultilevel"/>
    <w:tmpl w:val="D570B81C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C7AAE2E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7" w15:restartNumberingAfterBreak="0">
    <w:nsid w:val="74CB660A"/>
    <w:multiLevelType w:val="hybridMultilevel"/>
    <w:tmpl w:val="D4742024"/>
    <w:lvl w:ilvl="0" w:tplc="2C7AAE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B694A"/>
    <w:multiLevelType w:val="hybridMultilevel"/>
    <w:tmpl w:val="FE40A7B0"/>
    <w:lvl w:ilvl="0" w:tplc="6C36E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46CEE"/>
    <w:multiLevelType w:val="hybridMultilevel"/>
    <w:tmpl w:val="48601C5C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5"/>
  </w:num>
  <w:num w:numId="4">
    <w:abstractNumId w:val="28"/>
  </w:num>
  <w:num w:numId="5">
    <w:abstractNumId w:val="30"/>
  </w:num>
  <w:num w:numId="6">
    <w:abstractNumId w:val="22"/>
  </w:num>
  <w:num w:numId="7">
    <w:abstractNumId w:val="21"/>
  </w:num>
  <w:num w:numId="8">
    <w:abstractNumId w:val="46"/>
  </w:num>
  <w:num w:numId="9">
    <w:abstractNumId w:val="49"/>
  </w:num>
  <w:num w:numId="10">
    <w:abstractNumId w:val="23"/>
  </w:num>
  <w:num w:numId="11">
    <w:abstractNumId w:val="8"/>
  </w:num>
  <w:num w:numId="12">
    <w:abstractNumId w:val="0"/>
  </w:num>
  <w:num w:numId="13">
    <w:abstractNumId w:val="19"/>
  </w:num>
  <w:num w:numId="14">
    <w:abstractNumId w:val="5"/>
  </w:num>
  <w:num w:numId="15">
    <w:abstractNumId w:val="18"/>
  </w:num>
  <w:num w:numId="16">
    <w:abstractNumId w:val="37"/>
  </w:num>
  <w:num w:numId="17">
    <w:abstractNumId w:val="13"/>
  </w:num>
  <w:num w:numId="18">
    <w:abstractNumId w:val="25"/>
  </w:num>
  <w:num w:numId="19">
    <w:abstractNumId w:val="3"/>
  </w:num>
  <w:num w:numId="20">
    <w:abstractNumId w:val="27"/>
  </w:num>
  <w:num w:numId="21">
    <w:abstractNumId w:val="43"/>
  </w:num>
  <w:num w:numId="22">
    <w:abstractNumId w:val="40"/>
  </w:num>
  <w:num w:numId="23">
    <w:abstractNumId w:val="2"/>
  </w:num>
  <w:num w:numId="24">
    <w:abstractNumId w:val="45"/>
  </w:num>
  <w:num w:numId="25">
    <w:abstractNumId w:val="14"/>
  </w:num>
  <w:num w:numId="26">
    <w:abstractNumId w:val="35"/>
  </w:num>
  <w:num w:numId="27">
    <w:abstractNumId w:val="10"/>
  </w:num>
  <w:num w:numId="28">
    <w:abstractNumId w:val="20"/>
  </w:num>
  <w:num w:numId="29">
    <w:abstractNumId w:val="6"/>
  </w:num>
  <w:num w:numId="30">
    <w:abstractNumId w:val="4"/>
  </w:num>
  <w:num w:numId="31">
    <w:abstractNumId w:val="31"/>
  </w:num>
  <w:num w:numId="32">
    <w:abstractNumId w:val="24"/>
  </w:num>
  <w:num w:numId="33">
    <w:abstractNumId w:val="12"/>
  </w:num>
  <w:num w:numId="34">
    <w:abstractNumId w:val="7"/>
  </w:num>
  <w:num w:numId="35">
    <w:abstractNumId w:val="33"/>
  </w:num>
  <w:num w:numId="36">
    <w:abstractNumId w:val="32"/>
  </w:num>
  <w:num w:numId="37">
    <w:abstractNumId w:val="38"/>
  </w:num>
  <w:num w:numId="38">
    <w:abstractNumId w:val="17"/>
  </w:num>
  <w:num w:numId="39">
    <w:abstractNumId w:val="42"/>
  </w:num>
  <w:num w:numId="40">
    <w:abstractNumId w:val="44"/>
  </w:num>
  <w:num w:numId="41">
    <w:abstractNumId w:val="29"/>
  </w:num>
  <w:num w:numId="42">
    <w:abstractNumId w:val="34"/>
  </w:num>
  <w:num w:numId="43">
    <w:abstractNumId w:val="11"/>
  </w:num>
  <w:num w:numId="44">
    <w:abstractNumId w:val="9"/>
  </w:num>
  <w:num w:numId="45">
    <w:abstractNumId w:val="1"/>
  </w:num>
  <w:num w:numId="46">
    <w:abstractNumId w:val="47"/>
  </w:num>
  <w:num w:numId="47">
    <w:abstractNumId w:val="16"/>
  </w:num>
  <w:num w:numId="48">
    <w:abstractNumId w:val="39"/>
  </w:num>
  <w:num w:numId="4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7C"/>
    <w:rsid w:val="000A487C"/>
    <w:rsid w:val="00214F94"/>
    <w:rsid w:val="00551D05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6AC6"/>
  <w15:chartTrackingRefBased/>
  <w15:docId w15:val="{FAFBB0CB-0707-416D-BDB5-556BB7A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A4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A4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487C"/>
    <w:pPr>
      <w:keepNext/>
      <w:framePr w:w="4117" w:h="1441" w:hSpace="180" w:wrap="auto" w:vAnchor="text" w:hAnchor="page" w:x="1471" w:y="3"/>
      <w:jc w:val="center"/>
      <w:outlineLvl w:val="2"/>
    </w:pPr>
    <w:rPr>
      <w:rFonts w:ascii="Arial" w:hAnsi="Arial"/>
      <w:b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A48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487C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0A487C"/>
    <w:rPr>
      <w:rFonts w:ascii="Arial" w:eastAsia="Times New Roman" w:hAnsi="Arial" w:cs="Times New Roman"/>
      <w:b/>
      <w:sz w:val="18"/>
      <w:szCs w:val="24"/>
      <w:lang w:val="hr-HR"/>
    </w:rPr>
  </w:style>
  <w:style w:type="paragraph" w:styleId="Header">
    <w:name w:val="header"/>
    <w:basedOn w:val="Normal"/>
    <w:link w:val="HeaderChar"/>
    <w:rsid w:val="000A4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8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aliases w:val="EPZ_P_Footer"/>
    <w:basedOn w:val="Normal"/>
    <w:link w:val="FooterChar"/>
    <w:uiPriority w:val="99"/>
    <w:rsid w:val="000A487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EPZ_P_Footer Char"/>
    <w:basedOn w:val="DefaultParagraphFont"/>
    <w:link w:val="Footer"/>
    <w:uiPriority w:val="99"/>
    <w:rsid w:val="000A48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0A487C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A487C"/>
    <w:rPr>
      <w:rFonts w:ascii="Arial" w:eastAsia="Times New Roman" w:hAnsi="Arial" w:cs="Times New Roman"/>
      <w:lang w:val="hr-HR"/>
    </w:rPr>
  </w:style>
  <w:style w:type="paragraph" w:styleId="BodyText3">
    <w:name w:val="Body Text 3"/>
    <w:basedOn w:val="Normal"/>
    <w:link w:val="BodyText3Char"/>
    <w:rsid w:val="000A487C"/>
    <w:pPr>
      <w:spacing w:after="120"/>
    </w:pPr>
    <w:rPr>
      <w:rFonts w:ascii="CC-Palatino" w:hAnsi="CC-Palatin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A487C"/>
    <w:rPr>
      <w:rFonts w:ascii="CC-Palatino" w:eastAsia="Times New Roman" w:hAnsi="CC-Palatino" w:cs="Times New Roman"/>
      <w:sz w:val="16"/>
      <w:szCs w:val="16"/>
    </w:rPr>
  </w:style>
  <w:style w:type="paragraph" w:customStyle="1" w:styleId="StyleHeading1Arial">
    <w:name w:val="Style Heading 1 + Arial"/>
    <w:basedOn w:val="Heading1"/>
    <w:rsid w:val="000A487C"/>
    <w:pPr>
      <w:numPr>
        <w:numId w:val="1"/>
      </w:numPr>
      <w:spacing w:before="0" w:after="0"/>
    </w:pPr>
    <w:rPr>
      <w:rFonts w:cs="Times New Roman"/>
      <w:kern w:val="0"/>
      <w:sz w:val="24"/>
      <w:szCs w:val="20"/>
      <w:lang w:val="hr-HR" w:eastAsia="hr-HR"/>
    </w:rPr>
  </w:style>
  <w:style w:type="paragraph" w:customStyle="1" w:styleId="Style1">
    <w:name w:val="Style1"/>
    <w:basedOn w:val="Heading3"/>
    <w:rsid w:val="000A487C"/>
    <w:pPr>
      <w:framePr w:w="0" w:hRule="auto" w:hSpace="0" w:wrap="auto" w:vAnchor="margin" w:hAnchor="text" w:xAlign="left" w:yAlign="inline"/>
      <w:numPr>
        <w:ilvl w:val="2"/>
        <w:numId w:val="1"/>
      </w:numPr>
      <w:spacing w:before="240" w:after="60"/>
      <w:jc w:val="both"/>
    </w:pPr>
    <w:rPr>
      <w:rFonts w:cs="Arial"/>
      <w:b w:val="0"/>
      <w:bCs/>
      <w:i/>
      <w:sz w:val="22"/>
      <w:szCs w:val="26"/>
      <w:lang w:eastAsia="hr-HR"/>
    </w:rPr>
  </w:style>
  <w:style w:type="character" w:styleId="Hyperlink">
    <w:name w:val="Hyperlink"/>
    <w:rsid w:val="000A487C"/>
    <w:rPr>
      <w:color w:val="0000FF"/>
      <w:u w:val="single"/>
    </w:rPr>
  </w:style>
  <w:style w:type="paragraph" w:customStyle="1" w:styleId="Normal1">
    <w:name w:val="Normal 1"/>
    <w:basedOn w:val="Normal"/>
    <w:link w:val="Normal1CharChar"/>
    <w:rsid w:val="000A487C"/>
    <w:pPr>
      <w:numPr>
        <w:numId w:val="6"/>
      </w:numPr>
      <w:tabs>
        <w:tab w:val="left" w:pos="567"/>
      </w:tabs>
      <w:spacing w:before="40" w:after="40"/>
      <w:jc w:val="both"/>
    </w:pPr>
    <w:rPr>
      <w:lang w:eastAsia="en-US"/>
    </w:rPr>
  </w:style>
  <w:style w:type="character" w:customStyle="1" w:styleId="Normal1CharChar">
    <w:name w:val="Normal 1 Char Char"/>
    <w:link w:val="Normal1"/>
    <w:rsid w:val="000A487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semiHidden/>
    <w:rsid w:val="000A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487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rsid w:val="000A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A487C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A487C"/>
    <w:rPr>
      <w:rFonts w:ascii="Bookman Old Style" w:eastAsia="Times New Roman" w:hAnsi="Bookman Old Style" w:cs="Times New Roman"/>
      <w:b/>
      <w:sz w:val="24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0A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A48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A48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48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0A48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character" w:styleId="Emphasis">
    <w:name w:val="Emphasis"/>
    <w:qFormat/>
    <w:rsid w:val="000A487C"/>
    <w:rPr>
      <w:rFonts w:ascii="Times New Roman" w:hAnsi="Times New Roman" w:cs="Times New Roman" w:hint="default"/>
      <w:i/>
      <w:iCs/>
    </w:rPr>
  </w:style>
  <w:style w:type="paragraph" w:styleId="Subtitle">
    <w:name w:val="Subtitle"/>
    <w:basedOn w:val="Normal"/>
    <w:next w:val="BodyText"/>
    <w:link w:val="SubtitleChar"/>
    <w:qFormat/>
    <w:rsid w:val="000A487C"/>
    <w:pPr>
      <w:widowControl w:val="0"/>
      <w:suppressAutoHyphens/>
      <w:jc w:val="center"/>
    </w:pPr>
    <w:rPr>
      <w:rFonts w:ascii="TimesLT" w:hAnsi="TimesLT"/>
      <w:b/>
      <w:szCs w:val="20"/>
      <w:lang w:val="lt-LT" w:eastAsia="ar-SA"/>
    </w:rPr>
  </w:style>
  <w:style w:type="character" w:customStyle="1" w:styleId="SubtitleChar">
    <w:name w:val="Subtitle Char"/>
    <w:basedOn w:val="DefaultParagraphFont"/>
    <w:link w:val="Subtitle"/>
    <w:rsid w:val="000A487C"/>
    <w:rPr>
      <w:rFonts w:ascii="TimesLT" w:eastAsia="Times New Roman" w:hAnsi="TimesLT" w:cs="Times New Roman"/>
      <w:b/>
      <w:sz w:val="24"/>
      <w:szCs w:val="20"/>
      <w:lang w:val="lt-LT" w:eastAsia="ar-SA"/>
    </w:rPr>
  </w:style>
  <w:style w:type="paragraph" w:styleId="NormalWeb">
    <w:name w:val="Normal (Web)"/>
    <w:basedOn w:val="Normal"/>
    <w:unhideWhenUsed/>
    <w:rsid w:val="000A487C"/>
    <w:pPr>
      <w:spacing w:before="100" w:beforeAutospacing="1" w:after="100" w:afterAutospacing="1"/>
    </w:pPr>
    <w:rPr>
      <w:rFonts w:ascii="Trebuchet MS" w:hAnsi="Trebuchet MS"/>
      <w:color w:val="333333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0A4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2</cp:revision>
  <dcterms:created xsi:type="dcterms:W3CDTF">2020-12-25T13:38:00Z</dcterms:created>
  <dcterms:modified xsi:type="dcterms:W3CDTF">2020-12-25T13:38:00Z</dcterms:modified>
</cp:coreProperties>
</file>