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98" w:rsidRPr="00F77EEB" w:rsidRDefault="00690898" w:rsidP="00690898">
      <w:pPr>
        <w:jc w:val="center"/>
        <w:rPr>
          <w:rFonts w:ascii="Arial" w:hAnsi="Arial" w:cs="Arial"/>
          <w:b/>
          <w:szCs w:val="24"/>
        </w:rPr>
      </w:pPr>
      <w:r w:rsidRPr="00F77EEB">
        <w:rPr>
          <w:rFonts w:ascii="Arial" w:hAnsi="Arial" w:cs="Arial"/>
          <w:noProof/>
          <w:szCs w:val="24"/>
        </w:rPr>
        <w:drawing>
          <wp:inline distT="0" distB="0" distL="0" distR="0" wp14:anchorId="33E31AB2" wp14:editId="2A83DDFB">
            <wp:extent cx="62515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692" t="30664" r="16237" b="59961"/>
                    <a:stretch>
                      <a:fillRect/>
                    </a:stretch>
                  </pic:blipFill>
                  <pic:spPr bwMode="auto">
                    <a:xfrm>
                      <a:off x="0" y="0"/>
                      <a:ext cx="6251575" cy="685800"/>
                    </a:xfrm>
                    <a:prstGeom prst="rect">
                      <a:avLst/>
                    </a:prstGeom>
                    <a:noFill/>
                    <a:ln>
                      <a:noFill/>
                    </a:ln>
                  </pic:spPr>
                </pic:pic>
              </a:graphicData>
            </a:graphic>
          </wp:inline>
        </w:drawing>
      </w:r>
    </w:p>
    <w:p w:rsidR="00690898" w:rsidRPr="00F77EEB" w:rsidRDefault="00690898" w:rsidP="00690898">
      <w:pPr>
        <w:jc w:val="both"/>
        <w:rPr>
          <w:rFonts w:ascii="Arial" w:hAnsi="Arial" w:cs="Arial"/>
          <w:szCs w:val="24"/>
          <w:lang w:val="hr-HR"/>
        </w:rPr>
      </w:pPr>
    </w:p>
    <w:p w:rsidR="005D622B" w:rsidRPr="00F77EEB" w:rsidRDefault="005D622B" w:rsidP="005D622B">
      <w:pPr>
        <w:jc w:val="both"/>
        <w:rPr>
          <w:rFonts w:ascii="Arial" w:hAnsi="Arial" w:cs="Arial"/>
          <w:sz w:val="22"/>
          <w:szCs w:val="22"/>
          <w:lang w:val="hr-HR"/>
        </w:rPr>
      </w:pPr>
      <w:r w:rsidRPr="00F77EEB">
        <w:rPr>
          <w:rFonts w:ascii="Arial" w:hAnsi="Arial" w:cs="Arial"/>
          <w:sz w:val="22"/>
          <w:szCs w:val="22"/>
          <w:lang w:val="hr-HR"/>
        </w:rPr>
        <w:t>Broj:</w:t>
      </w:r>
      <w:r w:rsidR="00E2367E" w:rsidRPr="00F77EEB">
        <w:rPr>
          <w:rFonts w:ascii="Arial" w:hAnsi="Arial" w:cs="Arial"/>
          <w:sz w:val="22"/>
          <w:szCs w:val="22"/>
          <w:lang w:val="hr-HR"/>
        </w:rPr>
        <w:t xml:space="preserve"> </w:t>
      </w:r>
      <w:r w:rsidRPr="00F77EEB">
        <w:rPr>
          <w:rFonts w:ascii="Arial" w:hAnsi="Arial" w:cs="Arial"/>
          <w:sz w:val="22"/>
          <w:szCs w:val="22"/>
          <w:lang w:val="hr-HR"/>
        </w:rPr>
        <w:t xml:space="preserve">UPI-05/2-02-19-5-123/20 </w:t>
      </w:r>
      <w:r w:rsidR="00E2367E" w:rsidRPr="00F77EEB">
        <w:rPr>
          <w:rFonts w:ascii="Arial" w:hAnsi="Arial" w:cs="Arial"/>
          <w:sz w:val="22"/>
          <w:szCs w:val="22"/>
          <w:lang w:val="hr-HR"/>
        </w:rPr>
        <w:t>SN</w:t>
      </w:r>
    </w:p>
    <w:p w:rsidR="005D622B" w:rsidRPr="00F77EEB" w:rsidRDefault="005D622B" w:rsidP="005D622B">
      <w:pPr>
        <w:rPr>
          <w:rFonts w:ascii="Arial" w:hAnsi="Arial" w:cs="Arial"/>
          <w:sz w:val="22"/>
          <w:szCs w:val="22"/>
          <w:lang w:val="hr-HR"/>
        </w:rPr>
      </w:pPr>
      <w:r w:rsidRPr="00F77EEB">
        <w:rPr>
          <w:rFonts w:ascii="Arial" w:hAnsi="Arial" w:cs="Arial"/>
          <w:sz w:val="22"/>
          <w:szCs w:val="22"/>
          <w:lang w:val="hr-HR"/>
        </w:rPr>
        <w:t xml:space="preserve">Sarajevo, </w:t>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r>
      <w:r w:rsidRPr="00F77EEB">
        <w:rPr>
          <w:rFonts w:ascii="Arial" w:hAnsi="Arial" w:cs="Arial"/>
          <w:sz w:val="22"/>
          <w:szCs w:val="22"/>
          <w:lang w:val="hr-HR"/>
        </w:rPr>
        <w:softHyphen/>
        <w:t>______________ 2021</w:t>
      </w:r>
      <w:r w:rsidRPr="00F77EEB">
        <w:rPr>
          <w:rFonts w:ascii="Arial" w:hAnsi="Arial" w:cs="Arial"/>
          <w:sz w:val="22"/>
          <w:szCs w:val="22"/>
          <w:lang w:val="hr-HR"/>
        </w:rPr>
        <w:t>. godine</w:t>
      </w:r>
    </w:p>
    <w:p w:rsidR="00690898" w:rsidRPr="00F77EEB" w:rsidRDefault="00690898" w:rsidP="00690898">
      <w:pPr>
        <w:rPr>
          <w:rFonts w:ascii="Arial" w:hAnsi="Arial" w:cs="Arial"/>
          <w:sz w:val="22"/>
          <w:szCs w:val="22"/>
          <w:lang w:val="hr-HR"/>
        </w:rPr>
      </w:pPr>
      <w:r w:rsidRPr="00F77EEB">
        <w:rPr>
          <w:rFonts w:ascii="Arial" w:hAnsi="Arial" w:cs="Arial"/>
          <w:sz w:val="22"/>
          <w:szCs w:val="22"/>
          <w:lang w:val="hr-HR"/>
        </w:rPr>
        <w:t xml:space="preserve">    </w:t>
      </w:r>
    </w:p>
    <w:p w:rsidR="00690898" w:rsidRPr="00F77EEB" w:rsidRDefault="00690898" w:rsidP="00690898">
      <w:pPr>
        <w:jc w:val="both"/>
        <w:rPr>
          <w:rFonts w:ascii="Arial" w:hAnsi="Arial" w:cs="Arial"/>
          <w:sz w:val="22"/>
          <w:szCs w:val="22"/>
          <w:lang w:val="hr-HR"/>
        </w:rPr>
      </w:pPr>
      <w:r w:rsidRPr="00F77EEB">
        <w:rPr>
          <w:rFonts w:ascii="Arial" w:hAnsi="Arial" w:cs="Arial"/>
          <w:sz w:val="22"/>
          <w:szCs w:val="22"/>
          <w:lang w:val="hr-HR"/>
        </w:rPr>
        <w:t>Federalno ministarstvo okoliša i turizma, rješavajući po zahtjevu „PLAMA-PUR BH“ d.o.o. Kakanj, na osnovu čl</w:t>
      </w:r>
      <w:r w:rsidR="001E54ED" w:rsidRPr="00F77EEB">
        <w:rPr>
          <w:rFonts w:ascii="Arial" w:hAnsi="Arial" w:cs="Arial"/>
          <w:sz w:val="22"/>
          <w:szCs w:val="22"/>
          <w:lang w:val="hr-HR"/>
        </w:rPr>
        <w:t>. 68 i 71</w:t>
      </w:r>
      <w:r w:rsidRPr="00F77EEB">
        <w:rPr>
          <w:rFonts w:ascii="Arial" w:hAnsi="Arial" w:cs="Arial"/>
          <w:sz w:val="22"/>
          <w:szCs w:val="22"/>
          <w:lang w:val="hr-HR"/>
        </w:rPr>
        <w:t xml:space="preserve"> Zakona o zaštiti okoliša (¨Službene novine Federacije BiH¨, </w:t>
      </w:r>
      <w:r w:rsidR="001E54ED" w:rsidRPr="00F77EEB">
        <w:rPr>
          <w:rFonts w:ascii="Arial" w:hAnsi="Arial" w:cs="Arial"/>
          <w:sz w:val="22"/>
          <w:szCs w:val="22"/>
          <w:lang w:val="hr-HR"/>
        </w:rPr>
        <w:t>broj:</w:t>
      </w:r>
      <w:r w:rsidRPr="00F77EEB">
        <w:rPr>
          <w:rFonts w:ascii="Arial" w:hAnsi="Arial" w:cs="Arial"/>
          <w:sz w:val="22"/>
          <w:szCs w:val="22"/>
          <w:lang w:val="hr-HR"/>
        </w:rPr>
        <w:t xml:space="preserve"> 33/03</w:t>
      </w:r>
      <w:r w:rsidR="001E54ED" w:rsidRPr="00F77EEB">
        <w:rPr>
          <w:rFonts w:ascii="Arial" w:hAnsi="Arial" w:cs="Arial"/>
          <w:sz w:val="22"/>
          <w:szCs w:val="22"/>
          <w:lang w:val="hr-HR"/>
        </w:rPr>
        <w:t xml:space="preserve"> i 38/09</w:t>
      </w:r>
      <w:r w:rsidR="00ED0F0A">
        <w:rPr>
          <w:rFonts w:ascii="Arial" w:hAnsi="Arial" w:cs="Arial"/>
          <w:sz w:val="22"/>
          <w:szCs w:val="22"/>
          <w:lang w:val="hr-HR"/>
        </w:rPr>
        <w:t>), čl. 9 i</w:t>
      </w:r>
      <w:r w:rsidRPr="00F77EEB">
        <w:rPr>
          <w:rFonts w:ascii="Arial" w:hAnsi="Arial" w:cs="Arial"/>
          <w:sz w:val="22"/>
          <w:szCs w:val="22"/>
          <w:lang w:val="hr-HR"/>
        </w:rPr>
        <w:t xml:space="preserve"> 10 Pravilnika o pogonima i postrojenjima za koje je obavezna procjena uticaja na okoliš i pogonima i postrojenjima koji mogu biti izgrađeni i pušteni u rad samo ako imaju okolinsku dozvolu (“Služ</w:t>
      </w:r>
      <w:r w:rsidR="001E54ED" w:rsidRPr="00F77EEB">
        <w:rPr>
          <w:rFonts w:ascii="Arial" w:hAnsi="Arial" w:cs="Arial"/>
          <w:sz w:val="22"/>
          <w:szCs w:val="22"/>
          <w:lang w:val="hr-HR"/>
        </w:rPr>
        <w:t>bene novine Federacije BiH”, broj:</w:t>
      </w:r>
      <w:r w:rsidRPr="00F77EEB">
        <w:rPr>
          <w:rFonts w:ascii="Arial" w:hAnsi="Arial" w:cs="Arial"/>
          <w:sz w:val="22"/>
          <w:szCs w:val="22"/>
          <w:lang w:val="hr-HR"/>
        </w:rPr>
        <w:t xml:space="preserve"> 19/04), Pravilnika o sadržaju izvještaja o stanju sigurnosti, sadržaju informacija o sigurnosnim mjerama i sadržaju unutarnjih i spoljnih planova intervencije (Službene novine Federaci</w:t>
      </w:r>
      <w:r w:rsidR="001E54ED" w:rsidRPr="00F77EEB">
        <w:rPr>
          <w:rFonts w:ascii="Arial" w:hAnsi="Arial" w:cs="Arial"/>
          <w:sz w:val="22"/>
          <w:szCs w:val="22"/>
          <w:lang w:val="hr-HR"/>
        </w:rPr>
        <w:t>je BiH broj: 68/05), te člana 200</w:t>
      </w:r>
      <w:r w:rsidRPr="00F77EEB">
        <w:rPr>
          <w:rFonts w:ascii="Arial" w:hAnsi="Arial" w:cs="Arial"/>
          <w:sz w:val="22"/>
          <w:szCs w:val="22"/>
          <w:lang w:val="hr-HR"/>
        </w:rPr>
        <w:t xml:space="preserve"> Zakona o upravnom postupku (¨Služ</w:t>
      </w:r>
      <w:r w:rsidR="001E54ED" w:rsidRPr="00F77EEB">
        <w:rPr>
          <w:rFonts w:ascii="Arial" w:hAnsi="Arial" w:cs="Arial"/>
          <w:sz w:val="22"/>
          <w:szCs w:val="22"/>
          <w:lang w:val="hr-HR"/>
        </w:rPr>
        <w:t>bene novine Federacije BiH¨, broj:</w:t>
      </w:r>
      <w:r w:rsidRPr="00F77EEB">
        <w:rPr>
          <w:rFonts w:ascii="Arial" w:hAnsi="Arial" w:cs="Arial"/>
          <w:sz w:val="22"/>
          <w:szCs w:val="22"/>
          <w:lang w:val="hr-HR"/>
        </w:rPr>
        <w:t xml:space="preserve"> 2/98), </w:t>
      </w:r>
      <w:r w:rsidRPr="00F77EEB">
        <w:rPr>
          <w:rFonts w:ascii="Arial" w:hAnsi="Arial" w:cs="Arial"/>
          <w:i/>
          <w:sz w:val="22"/>
          <w:szCs w:val="22"/>
          <w:lang w:val="hr-HR"/>
        </w:rPr>
        <w:t>d o n o s i:</w:t>
      </w:r>
      <w:r w:rsidRPr="00F77EEB">
        <w:rPr>
          <w:rFonts w:ascii="Arial" w:hAnsi="Arial" w:cs="Arial"/>
          <w:sz w:val="22"/>
          <w:szCs w:val="22"/>
          <w:lang w:val="hr-HR"/>
        </w:rPr>
        <w:t xml:space="preserve">  </w:t>
      </w:r>
    </w:p>
    <w:p w:rsidR="00690898" w:rsidRPr="00F77EEB" w:rsidRDefault="00690898" w:rsidP="00690898">
      <w:pPr>
        <w:jc w:val="both"/>
        <w:rPr>
          <w:rFonts w:ascii="Arial" w:hAnsi="Arial" w:cs="Arial"/>
          <w:sz w:val="22"/>
          <w:szCs w:val="22"/>
          <w:lang w:val="hr-HR"/>
        </w:rPr>
      </w:pPr>
    </w:p>
    <w:p w:rsidR="003F3FBD" w:rsidRPr="00F77EEB" w:rsidRDefault="003F3FBD" w:rsidP="00690898">
      <w:pPr>
        <w:jc w:val="both"/>
        <w:rPr>
          <w:rFonts w:ascii="Arial" w:hAnsi="Arial" w:cs="Arial"/>
          <w:sz w:val="22"/>
          <w:szCs w:val="22"/>
          <w:lang w:val="hr-HR"/>
        </w:rPr>
      </w:pPr>
    </w:p>
    <w:p w:rsidR="00690898" w:rsidRPr="00F77EEB" w:rsidRDefault="00690898" w:rsidP="00690898">
      <w:pPr>
        <w:pStyle w:val="Heading2"/>
        <w:jc w:val="center"/>
        <w:rPr>
          <w:rFonts w:cs="Arial"/>
          <w:sz w:val="22"/>
          <w:szCs w:val="22"/>
          <w:lang w:val="hr-HR"/>
        </w:rPr>
      </w:pPr>
      <w:bookmarkStart w:id="0" w:name="_Toc320171210"/>
      <w:bookmarkStart w:id="1" w:name="_Toc320171496"/>
      <w:r w:rsidRPr="00F77EEB">
        <w:rPr>
          <w:rFonts w:cs="Arial"/>
          <w:sz w:val="22"/>
          <w:szCs w:val="22"/>
          <w:lang w:val="hr-HR"/>
        </w:rPr>
        <w:t>R J E Š E NJ E</w:t>
      </w:r>
      <w:bookmarkEnd w:id="0"/>
      <w:bookmarkEnd w:id="1"/>
    </w:p>
    <w:p w:rsidR="00690898" w:rsidRPr="00F77EEB" w:rsidRDefault="00690898" w:rsidP="00690898">
      <w:pPr>
        <w:jc w:val="both"/>
        <w:rPr>
          <w:rFonts w:ascii="Arial" w:hAnsi="Arial" w:cs="Arial"/>
          <w:sz w:val="22"/>
          <w:szCs w:val="22"/>
          <w:lang w:val="hr-HR"/>
        </w:rPr>
      </w:pPr>
    </w:p>
    <w:p w:rsidR="003F3FBD" w:rsidRPr="00F77EEB" w:rsidRDefault="003F3FBD" w:rsidP="00690898">
      <w:pPr>
        <w:jc w:val="both"/>
        <w:rPr>
          <w:rFonts w:ascii="Arial" w:hAnsi="Arial" w:cs="Arial"/>
          <w:sz w:val="22"/>
          <w:szCs w:val="22"/>
          <w:lang w:val="hr-HR"/>
        </w:rPr>
      </w:pPr>
    </w:p>
    <w:p w:rsidR="00690898" w:rsidRPr="00F77EEB" w:rsidRDefault="00690898" w:rsidP="00690898">
      <w:pPr>
        <w:pStyle w:val="Heading1"/>
        <w:numPr>
          <w:ilvl w:val="0"/>
          <w:numId w:val="4"/>
        </w:numPr>
        <w:ind w:left="284" w:hanging="284"/>
        <w:jc w:val="both"/>
        <w:rPr>
          <w:rFonts w:cs="Arial"/>
          <w:b w:val="0"/>
          <w:sz w:val="22"/>
          <w:szCs w:val="22"/>
        </w:rPr>
      </w:pPr>
      <w:bookmarkStart w:id="2" w:name="_Toc320171497"/>
      <w:r w:rsidRPr="00F77EEB">
        <w:rPr>
          <w:rFonts w:cs="Arial"/>
          <w:sz w:val="22"/>
          <w:szCs w:val="22"/>
        </w:rPr>
        <w:t xml:space="preserve">Daje se okolišna dozvola investitoru „PLAMA-PUR BH“ d.o.o. Kakanj, </w:t>
      </w:r>
      <w:bookmarkEnd w:id="2"/>
      <w:r w:rsidRPr="00F77EEB">
        <w:rPr>
          <w:rFonts w:cs="Arial"/>
          <w:b w:val="0"/>
          <w:sz w:val="22"/>
          <w:szCs w:val="22"/>
          <w:lang w:val="hr-HR"/>
        </w:rPr>
        <w:t>tvornici za proizvodnju meke poliuretanske pjene</w:t>
      </w:r>
      <w:r w:rsidR="001E54ED" w:rsidRPr="00F77EEB">
        <w:rPr>
          <w:rFonts w:cs="Arial"/>
          <w:b w:val="0"/>
          <w:sz w:val="22"/>
          <w:szCs w:val="22"/>
          <w:lang w:val="hr-HR"/>
        </w:rPr>
        <w:t xml:space="preserve"> koja se nalazi</w:t>
      </w:r>
      <w:r w:rsidRPr="00F77EEB">
        <w:rPr>
          <w:rFonts w:cs="Arial"/>
          <w:b w:val="0"/>
          <w:sz w:val="22"/>
          <w:szCs w:val="22"/>
          <w:lang w:val="hr-HR"/>
        </w:rPr>
        <w:t xml:space="preserve"> na adresi Bjelavići bb, općina Kakanj na parceli k.č. br. 151, 152, 153, 154, 155/1 KO Haljinići, općina Kakanj. Ukupna površina katastarskih čestica iznosi 2096 m</w:t>
      </w:r>
      <w:r w:rsidRPr="00F77EEB">
        <w:rPr>
          <w:rFonts w:cs="Arial"/>
          <w:b w:val="0"/>
          <w:sz w:val="22"/>
          <w:szCs w:val="22"/>
          <w:vertAlign w:val="superscript"/>
          <w:lang w:val="hr-HR"/>
        </w:rPr>
        <w:t>2</w:t>
      </w:r>
      <w:r w:rsidRPr="00F77EEB">
        <w:rPr>
          <w:rFonts w:cs="Arial"/>
          <w:b w:val="0"/>
          <w:sz w:val="22"/>
          <w:szCs w:val="22"/>
          <w:lang w:val="hr-HR"/>
        </w:rPr>
        <w:t xml:space="preserve">. Predviđeni kapacitet tvornice meke poliuretanske pjene je </w:t>
      </w:r>
      <w:r w:rsidR="00C7001A" w:rsidRPr="00F77EEB">
        <w:rPr>
          <w:rFonts w:cs="Arial"/>
          <w:b w:val="0"/>
          <w:sz w:val="22"/>
          <w:szCs w:val="22"/>
          <w:lang w:val="hr-HR"/>
        </w:rPr>
        <w:t>3</w:t>
      </w:r>
      <w:r w:rsidRPr="00F77EEB">
        <w:rPr>
          <w:rFonts w:cs="Arial"/>
          <w:b w:val="0"/>
          <w:sz w:val="22"/>
          <w:szCs w:val="22"/>
          <w:lang w:val="hr-HR"/>
        </w:rPr>
        <w:t>.</w:t>
      </w:r>
      <w:r w:rsidR="00C7001A" w:rsidRPr="00F77EEB">
        <w:rPr>
          <w:rFonts w:cs="Arial"/>
          <w:b w:val="0"/>
          <w:sz w:val="22"/>
          <w:szCs w:val="22"/>
          <w:lang w:val="hr-HR"/>
        </w:rPr>
        <w:t>0</w:t>
      </w:r>
      <w:r w:rsidRPr="00F77EEB">
        <w:rPr>
          <w:rFonts w:cs="Arial"/>
          <w:b w:val="0"/>
          <w:sz w:val="22"/>
          <w:szCs w:val="22"/>
          <w:lang w:val="hr-HR"/>
        </w:rPr>
        <w:t xml:space="preserve">00 t/g (tona godišnje), sa skladištem toluendiizocijanata (TDI) </w:t>
      </w:r>
      <w:r w:rsidRPr="00F77EEB">
        <w:rPr>
          <w:rFonts w:cs="Arial"/>
          <w:sz w:val="22"/>
          <w:szCs w:val="22"/>
          <w:lang w:val="hr-HR"/>
        </w:rPr>
        <w:t xml:space="preserve"> </w:t>
      </w:r>
      <w:r w:rsidRPr="00F77EEB">
        <w:rPr>
          <w:rFonts w:cs="Arial"/>
          <w:b w:val="0"/>
          <w:sz w:val="22"/>
          <w:szCs w:val="22"/>
          <w:lang w:val="hr-HR"/>
        </w:rPr>
        <w:t>instaliranog kapaciteta 80m</w:t>
      </w:r>
      <w:r w:rsidRPr="00F77EEB">
        <w:rPr>
          <w:rFonts w:cs="Arial"/>
          <w:b w:val="0"/>
          <w:sz w:val="22"/>
          <w:szCs w:val="22"/>
          <w:vertAlign w:val="superscript"/>
          <w:lang w:val="hr-HR"/>
        </w:rPr>
        <w:t>3</w:t>
      </w:r>
      <w:r w:rsidR="00253C36" w:rsidRPr="00F77EEB">
        <w:rPr>
          <w:rFonts w:cs="Arial"/>
          <w:b w:val="0"/>
          <w:sz w:val="22"/>
          <w:szCs w:val="22"/>
          <w:lang w:val="hr-HR"/>
        </w:rPr>
        <w:t>.</w:t>
      </w:r>
    </w:p>
    <w:p w:rsidR="00690898" w:rsidRPr="00F77EEB" w:rsidRDefault="00690898" w:rsidP="00690898">
      <w:pPr>
        <w:pStyle w:val="BodyText2"/>
        <w:ind w:left="284" w:hanging="284"/>
        <w:rPr>
          <w:rFonts w:cs="Arial"/>
          <w:szCs w:val="22"/>
          <w:lang w:val="hr-HR"/>
        </w:rPr>
      </w:pPr>
    </w:p>
    <w:p w:rsidR="00690898" w:rsidRPr="00F77EEB" w:rsidRDefault="00690898" w:rsidP="00690898">
      <w:pPr>
        <w:pStyle w:val="Heading1"/>
        <w:numPr>
          <w:ilvl w:val="0"/>
          <w:numId w:val="4"/>
        </w:numPr>
        <w:ind w:left="284" w:hanging="284"/>
        <w:rPr>
          <w:rFonts w:cs="Arial"/>
          <w:sz w:val="22"/>
          <w:szCs w:val="22"/>
          <w:lang w:val="hr-HR"/>
        </w:rPr>
      </w:pPr>
      <w:bookmarkStart w:id="3" w:name="_Toc320171498"/>
      <w:r w:rsidRPr="00F77EEB">
        <w:rPr>
          <w:rFonts w:cs="Arial"/>
          <w:sz w:val="22"/>
          <w:szCs w:val="22"/>
          <w:lang w:val="hr-HR"/>
        </w:rPr>
        <w:t>Pogoni i postrojenja za koje se izdaje okolišna dozvola su:</w:t>
      </w:r>
      <w:bookmarkEnd w:id="3"/>
    </w:p>
    <w:p w:rsidR="00690898" w:rsidRPr="00F77EEB" w:rsidRDefault="00690898" w:rsidP="00690898">
      <w:pPr>
        <w:pStyle w:val="Default"/>
        <w:rPr>
          <w:color w:val="auto"/>
          <w:sz w:val="22"/>
          <w:szCs w:val="22"/>
        </w:rPr>
      </w:pPr>
    </w:p>
    <w:p w:rsidR="00690898" w:rsidRPr="00F77EEB" w:rsidRDefault="00690898" w:rsidP="00690898">
      <w:pPr>
        <w:pStyle w:val="Default"/>
        <w:numPr>
          <w:ilvl w:val="0"/>
          <w:numId w:val="7"/>
        </w:numPr>
        <w:rPr>
          <w:color w:val="auto"/>
          <w:sz w:val="22"/>
          <w:szCs w:val="22"/>
        </w:rPr>
      </w:pPr>
      <w:r w:rsidRPr="00F77EEB">
        <w:rPr>
          <w:color w:val="auto"/>
          <w:sz w:val="22"/>
          <w:szCs w:val="22"/>
        </w:rPr>
        <w:t xml:space="preserve">Skladište repromaterijala u kojem su smještene sirovine u tečnom stanju i iste predstavljaju različite derivate nafte </w:t>
      </w:r>
    </w:p>
    <w:p w:rsidR="00690898" w:rsidRPr="00F77EEB" w:rsidRDefault="00690898" w:rsidP="00690898">
      <w:pPr>
        <w:pStyle w:val="Default"/>
        <w:numPr>
          <w:ilvl w:val="0"/>
          <w:numId w:val="7"/>
        </w:numPr>
        <w:rPr>
          <w:color w:val="auto"/>
          <w:sz w:val="22"/>
          <w:szCs w:val="22"/>
        </w:rPr>
      </w:pPr>
      <w:r w:rsidRPr="00F77EEB">
        <w:rPr>
          <w:color w:val="auto"/>
          <w:sz w:val="22"/>
          <w:szCs w:val="22"/>
        </w:rPr>
        <w:t xml:space="preserve">Proizvodni dio sa linijom za proizvodnju pjene </w:t>
      </w:r>
    </w:p>
    <w:p w:rsidR="00690898" w:rsidRPr="00F77EEB" w:rsidRDefault="00690898" w:rsidP="00690898">
      <w:pPr>
        <w:pStyle w:val="Default"/>
        <w:numPr>
          <w:ilvl w:val="0"/>
          <w:numId w:val="7"/>
        </w:numPr>
        <w:rPr>
          <w:color w:val="auto"/>
          <w:sz w:val="22"/>
          <w:szCs w:val="22"/>
        </w:rPr>
      </w:pPr>
      <w:r w:rsidRPr="00F77EEB">
        <w:rPr>
          <w:color w:val="auto"/>
          <w:sz w:val="22"/>
          <w:szCs w:val="22"/>
        </w:rPr>
        <w:t xml:space="preserve">Treći dio objekta sastoji se iz dva dijela i to: </w:t>
      </w:r>
    </w:p>
    <w:p w:rsidR="00690898" w:rsidRPr="00F77EEB" w:rsidRDefault="00690898" w:rsidP="00690898">
      <w:pPr>
        <w:pStyle w:val="Default"/>
        <w:ind w:left="993" w:hanging="273"/>
        <w:rPr>
          <w:color w:val="auto"/>
          <w:sz w:val="22"/>
          <w:szCs w:val="22"/>
        </w:rPr>
      </w:pPr>
      <w:r w:rsidRPr="00F77EEB">
        <w:rPr>
          <w:color w:val="auto"/>
          <w:sz w:val="22"/>
          <w:szCs w:val="22"/>
        </w:rPr>
        <w:t xml:space="preserve">a) zrionica u kojem pjena treba da odleži 72 sata </w:t>
      </w:r>
    </w:p>
    <w:p w:rsidR="00690898" w:rsidRPr="00F77EEB" w:rsidRDefault="00690898" w:rsidP="003F3FBD">
      <w:pPr>
        <w:pStyle w:val="Default"/>
        <w:ind w:left="993" w:hanging="273"/>
        <w:rPr>
          <w:color w:val="auto"/>
          <w:sz w:val="22"/>
          <w:szCs w:val="22"/>
        </w:rPr>
      </w:pPr>
      <w:r w:rsidRPr="00F77EEB">
        <w:rPr>
          <w:color w:val="auto"/>
          <w:sz w:val="22"/>
          <w:szCs w:val="22"/>
        </w:rPr>
        <w:t xml:space="preserve">b) skladište gotovih proizvoda. </w:t>
      </w:r>
    </w:p>
    <w:p w:rsidR="00690898" w:rsidRPr="00F77EEB" w:rsidRDefault="00690898" w:rsidP="00690898">
      <w:pPr>
        <w:pStyle w:val="Default"/>
        <w:jc w:val="both"/>
        <w:rPr>
          <w:color w:val="auto"/>
          <w:sz w:val="22"/>
          <w:szCs w:val="22"/>
        </w:rPr>
      </w:pPr>
      <w:r w:rsidRPr="00F77EEB">
        <w:rPr>
          <w:color w:val="auto"/>
          <w:sz w:val="22"/>
          <w:szCs w:val="22"/>
        </w:rPr>
        <w:t>Tip mašine: standard VIKING "EASYMAX" MAXFOAM flexible polyurethane foam slabstock machine.</w:t>
      </w:r>
    </w:p>
    <w:p w:rsidR="00690898" w:rsidRPr="00F77EEB" w:rsidRDefault="00690898" w:rsidP="00690898">
      <w:pPr>
        <w:pStyle w:val="BodyText2"/>
        <w:rPr>
          <w:rFonts w:cs="Arial"/>
          <w:szCs w:val="22"/>
          <w:lang w:val="hr-HR"/>
        </w:rPr>
      </w:pPr>
    </w:p>
    <w:p w:rsidR="00690898" w:rsidRPr="00F77EEB" w:rsidRDefault="00690898" w:rsidP="00690898">
      <w:pPr>
        <w:pStyle w:val="Heading1"/>
        <w:numPr>
          <w:ilvl w:val="0"/>
          <w:numId w:val="4"/>
        </w:numPr>
        <w:ind w:left="284" w:hanging="284"/>
        <w:rPr>
          <w:rFonts w:cs="Arial"/>
          <w:sz w:val="22"/>
          <w:szCs w:val="22"/>
        </w:rPr>
      </w:pPr>
      <w:bookmarkStart w:id="4" w:name="_Toc320171211"/>
      <w:bookmarkStart w:id="5" w:name="_Toc320171499"/>
      <w:r w:rsidRPr="00F77EEB">
        <w:rPr>
          <w:rFonts w:cs="Arial"/>
          <w:sz w:val="22"/>
          <w:szCs w:val="22"/>
        </w:rPr>
        <w:t xml:space="preserve">Kratak tehnološki opis </w:t>
      </w:r>
    </w:p>
    <w:p w:rsidR="00690898" w:rsidRPr="00F77EEB" w:rsidRDefault="00690898" w:rsidP="00690898">
      <w:pPr>
        <w:rPr>
          <w:rFonts w:ascii="Arial" w:hAnsi="Arial" w:cs="Arial"/>
          <w:sz w:val="22"/>
          <w:szCs w:val="22"/>
        </w:rPr>
      </w:pPr>
    </w:p>
    <w:p w:rsidR="00690898" w:rsidRPr="00F77EEB" w:rsidRDefault="00690898" w:rsidP="00690898">
      <w:pPr>
        <w:jc w:val="both"/>
        <w:rPr>
          <w:rFonts w:ascii="Arial" w:hAnsi="Arial" w:cs="Arial"/>
          <w:sz w:val="22"/>
          <w:szCs w:val="22"/>
        </w:rPr>
      </w:pPr>
      <w:r w:rsidRPr="00F77EEB">
        <w:rPr>
          <w:rFonts w:ascii="Arial" w:hAnsi="Arial" w:cs="Arial"/>
          <w:sz w:val="22"/>
          <w:szCs w:val="22"/>
        </w:rPr>
        <w:t>Osnovne sirovine za prizvodnju meke poliuretanske pjene su poliol i izocijanat koje se dopremaju u skladište i to 4 cisterne poliola po 80 m</w:t>
      </w:r>
      <w:r w:rsidRPr="00F77EEB">
        <w:rPr>
          <w:rFonts w:ascii="Arial" w:hAnsi="Arial" w:cs="Arial"/>
          <w:sz w:val="22"/>
          <w:szCs w:val="22"/>
          <w:vertAlign w:val="superscript"/>
        </w:rPr>
        <w:t>3</w:t>
      </w:r>
      <w:r w:rsidRPr="00F77EEB">
        <w:rPr>
          <w:rFonts w:ascii="Arial" w:hAnsi="Arial" w:cs="Arial"/>
          <w:sz w:val="22"/>
          <w:szCs w:val="22"/>
        </w:rPr>
        <w:t>, 2 cisterne poliola po 100m</w:t>
      </w:r>
      <w:r w:rsidRPr="00F77EEB">
        <w:rPr>
          <w:rFonts w:ascii="Arial" w:hAnsi="Arial" w:cs="Arial"/>
          <w:sz w:val="22"/>
          <w:szCs w:val="22"/>
          <w:vertAlign w:val="superscript"/>
        </w:rPr>
        <w:t>3</w:t>
      </w:r>
      <w:r w:rsidRPr="00F77EEB">
        <w:rPr>
          <w:rFonts w:ascii="Arial" w:hAnsi="Arial" w:cs="Arial"/>
          <w:sz w:val="22"/>
          <w:szCs w:val="22"/>
        </w:rPr>
        <w:t xml:space="preserve"> </w:t>
      </w:r>
      <w:r w:rsidR="00EE45DA" w:rsidRPr="00F77EEB">
        <w:rPr>
          <w:rFonts w:ascii="Arial" w:hAnsi="Arial" w:cs="Arial"/>
          <w:sz w:val="22"/>
          <w:szCs w:val="22"/>
        </w:rPr>
        <w:t>i</w:t>
      </w:r>
      <w:r w:rsidRPr="00F77EEB">
        <w:rPr>
          <w:rFonts w:ascii="Arial" w:hAnsi="Arial" w:cs="Arial"/>
          <w:sz w:val="22"/>
          <w:szCs w:val="22"/>
        </w:rPr>
        <w:t xml:space="preserve"> 2 cisterne </w:t>
      </w:r>
      <w:r w:rsidR="00EE45DA" w:rsidRPr="00F77EEB">
        <w:rPr>
          <w:rFonts w:ascii="Arial" w:hAnsi="Arial" w:cs="Arial"/>
          <w:sz w:val="22"/>
          <w:szCs w:val="22"/>
        </w:rPr>
        <w:t>i</w:t>
      </w:r>
      <w:r w:rsidRPr="00F77EEB">
        <w:rPr>
          <w:rFonts w:ascii="Arial" w:hAnsi="Arial" w:cs="Arial"/>
          <w:sz w:val="22"/>
          <w:szCs w:val="22"/>
        </w:rPr>
        <w:t>zocijanata po 40 m</w:t>
      </w:r>
      <w:r w:rsidRPr="00F77EEB">
        <w:rPr>
          <w:rFonts w:ascii="Arial" w:hAnsi="Arial" w:cs="Arial"/>
          <w:sz w:val="22"/>
          <w:szCs w:val="22"/>
          <w:vertAlign w:val="superscript"/>
        </w:rPr>
        <w:t>3</w:t>
      </w:r>
      <w:r w:rsidRPr="00F77EEB">
        <w:rPr>
          <w:rFonts w:ascii="Arial" w:hAnsi="Arial" w:cs="Arial"/>
          <w:sz w:val="22"/>
          <w:szCs w:val="22"/>
        </w:rPr>
        <w:t>.</w:t>
      </w:r>
    </w:p>
    <w:p w:rsidR="00690898" w:rsidRPr="00F77EEB" w:rsidRDefault="00690898" w:rsidP="00690898">
      <w:pPr>
        <w:jc w:val="both"/>
        <w:rPr>
          <w:rFonts w:ascii="Arial" w:hAnsi="Arial" w:cs="Arial"/>
          <w:sz w:val="22"/>
          <w:szCs w:val="22"/>
        </w:rPr>
      </w:pPr>
    </w:p>
    <w:p w:rsidR="00690898" w:rsidRPr="00F77EEB" w:rsidRDefault="00690898" w:rsidP="00690898">
      <w:pPr>
        <w:jc w:val="both"/>
        <w:rPr>
          <w:rFonts w:ascii="Arial" w:hAnsi="Arial" w:cs="Arial"/>
          <w:sz w:val="22"/>
          <w:szCs w:val="22"/>
        </w:rPr>
      </w:pPr>
      <w:r w:rsidRPr="00F77EEB">
        <w:rPr>
          <w:rFonts w:ascii="Arial" w:hAnsi="Arial" w:cs="Arial"/>
          <w:sz w:val="22"/>
          <w:szCs w:val="22"/>
        </w:rPr>
        <w:t>Skladišni prostor je dodatno pregrađen između cisterni zaštitnim zidom u cilju sprečavanja miješanja ove dvije frakcije u slučaju eventualnog izlijevanja iz rezervoara.</w:t>
      </w:r>
    </w:p>
    <w:p w:rsidR="00690898" w:rsidRPr="00F77EEB" w:rsidRDefault="00690898" w:rsidP="00690898">
      <w:pPr>
        <w:jc w:val="both"/>
        <w:rPr>
          <w:rFonts w:ascii="Arial" w:hAnsi="Arial" w:cs="Arial"/>
          <w:sz w:val="22"/>
          <w:szCs w:val="22"/>
        </w:rPr>
      </w:pPr>
      <w:r w:rsidRPr="00F77EEB">
        <w:rPr>
          <w:rFonts w:ascii="Arial" w:hAnsi="Arial" w:cs="Arial"/>
          <w:sz w:val="22"/>
          <w:szCs w:val="22"/>
        </w:rPr>
        <w:t>Skladište je termostatirano tako da poliol i TDI imaju konstantno propisanu temperature T = 21±1</w:t>
      </w:r>
      <w:r w:rsidRPr="00F77EEB">
        <w:rPr>
          <w:rFonts w:ascii="Arial" w:hAnsi="Arial" w:cs="Arial"/>
          <w:sz w:val="22"/>
          <w:szCs w:val="22"/>
          <w:vertAlign w:val="superscript"/>
        </w:rPr>
        <w:t>o</w:t>
      </w:r>
      <w:r w:rsidRPr="00F77EEB">
        <w:rPr>
          <w:rFonts w:ascii="Arial" w:hAnsi="Arial" w:cs="Arial"/>
          <w:sz w:val="22"/>
          <w:szCs w:val="22"/>
        </w:rPr>
        <w:t xml:space="preserve">C da bi se spriječila prijevremena kristalizacija. U blizini cisterni za poliol i TDI nalaze se dozirne pumpe koje transportuju i doziraju osnovne komponente </w:t>
      </w:r>
      <w:proofErr w:type="gramStart"/>
      <w:r w:rsidRPr="00F77EEB">
        <w:rPr>
          <w:rFonts w:ascii="Arial" w:hAnsi="Arial" w:cs="Arial"/>
          <w:sz w:val="22"/>
          <w:szCs w:val="22"/>
        </w:rPr>
        <w:t>na</w:t>
      </w:r>
      <w:proofErr w:type="gramEnd"/>
      <w:r w:rsidRPr="00F77EEB">
        <w:rPr>
          <w:rFonts w:ascii="Arial" w:hAnsi="Arial" w:cs="Arial"/>
          <w:sz w:val="22"/>
          <w:szCs w:val="22"/>
        </w:rPr>
        <w:t xml:space="preserve"> osnovni stroj za proizvodnju pjene Easymax – Cannon Viking. U blizini stroja nalazi se posuda za doziranje aktivatora, stabilizatora i drugih dodataka koji omogućavaju nesmetan tok hemijskih reakcija. Sirovine se doziraju preko dozirnih pumpi u glavu za miješanje </w:t>
      </w:r>
      <w:proofErr w:type="gramStart"/>
      <w:r w:rsidRPr="00F77EEB">
        <w:rPr>
          <w:rFonts w:ascii="Arial" w:hAnsi="Arial" w:cs="Arial"/>
          <w:sz w:val="22"/>
          <w:szCs w:val="22"/>
        </w:rPr>
        <w:t>na</w:t>
      </w:r>
      <w:proofErr w:type="gramEnd"/>
      <w:r w:rsidRPr="00F77EEB">
        <w:rPr>
          <w:rFonts w:ascii="Arial" w:hAnsi="Arial" w:cs="Arial"/>
          <w:sz w:val="22"/>
          <w:szCs w:val="22"/>
        </w:rPr>
        <w:t xml:space="preserve"> Easymax stroju (Maxfoam – glava miksera). Homogeno izmiješane sirovine ulaze u posudu gdje počinje hemijska reakcija, počinje da pjeni, prelazi </w:t>
      </w:r>
      <w:proofErr w:type="gramStart"/>
      <w:r w:rsidRPr="00F77EEB">
        <w:rPr>
          <w:rFonts w:ascii="Arial" w:hAnsi="Arial" w:cs="Arial"/>
          <w:sz w:val="22"/>
          <w:szCs w:val="22"/>
        </w:rPr>
        <w:t>na</w:t>
      </w:r>
      <w:proofErr w:type="gramEnd"/>
      <w:r w:rsidRPr="00F77EEB">
        <w:rPr>
          <w:rFonts w:ascii="Arial" w:hAnsi="Arial" w:cs="Arial"/>
          <w:sz w:val="22"/>
          <w:szCs w:val="22"/>
        </w:rPr>
        <w:t xml:space="preserve"> putujuće korito obloženo papirom gdje se počinje formirati blok poliuretanske pjene. Dužina bloka je oko 30 m, širina 2</w:t>
      </w:r>
      <w:proofErr w:type="gramStart"/>
      <w:r w:rsidRPr="00F77EEB">
        <w:rPr>
          <w:rFonts w:ascii="Arial" w:hAnsi="Arial" w:cs="Arial"/>
          <w:sz w:val="22"/>
          <w:szCs w:val="22"/>
        </w:rPr>
        <w:t>,2</w:t>
      </w:r>
      <w:proofErr w:type="gramEnd"/>
      <w:r w:rsidRPr="00F77EEB">
        <w:rPr>
          <w:rFonts w:ascii="Arial" w:hAnsi="Arial" w:cs="Arial"/>
          <w:sz w:val="22"/>
          <w:szCs w:val="22"/>
        </w:rPr>
        <w:t xml:space="preserve"> m i visina 1,15 m, a siječe se na dužine 2-2,5m.</w:t>
      </w:r>
    </w:p>
    <w:p w:rsidR="00690898" w:rsidRPr="00F77EEB" w:rsidRDefault="00690898" w:rsidP="00690898">
      <w:pPr>
        <w:rPr>
          <w:rFonts w:ascii="Arial" w:hAnsi="Arial" w:cs="Arial"/>
          <w:sz w:val="22"/>
          <w:szCs w:val="22"/>
        </w:rPr>
      </w:pPr>
    </w:p>
    <w:p w:rsidR="00690898" w:rsidRPr="00F77EEB" w:rsidRDefault="00690898" w:rsidP="00690898">
      <w:pPr>
        <w:rPr>
          <w:rFonts w:ascii="Arial" w:hAnsi="Arial" w:cs="Arial"/>
          <w:b/>
          <w:sz w:val="22"/>
          <w:szCs w:val="22"/>
        </w:rPr>
      </w:pPr>
      <w:r w:rsidRPr="00F77EEB">
        <w:rPr>
          <w:rFonts w:ascii="Arial" w:hAnsi="Arial" w:cs="Arial"/>
          <w:b/>
          <w:sz w:val="22"/>
          <w:szCs w:val="22"/>
        </w:rPr>
        <w:t>3.1. Osnovne i pomoćne sirovine</w:t>
      </w:r>
    </w:p>
    <w:p w:rsidR="00690898" w:rsidRPr="00F77EEB" w:rsidRDefault="00690898" w:rsidP="00690898">
      <w:pPr>
        <w:rPr>
          <w:rFonts w:ascii="Arial" w:hAnsi="Arial" w:cs="Arial"/>
          <w:b/>
          <w:sz w:val="22"/>
          <w:szCs w:val="22"/>
        </w:rPr>
      </w:pPr>
    </w:p>
    <w:p w:rsidR="00690898" w:rsidRPr="00F77EEB" w:rsidRDefault="00690898" w:rsidP="00690898">
      <w:pPr>
        <w:rPr>
          <w:rFonts w:ascii="Arial" w:hAnsi="Arial" w:cs="Arial"/>
          <w:b/>
          <w:sz w:val="22"/>
          <w:szCs w:val="22"/>
        </w:rPr>
      </w:pPr>
      <w:r w:rsidRPr="00F77EEB">
        <w:rPr>
          <w:rFonts w:ascii="Arial" w:hAnsi="Arial" w:cs="Arial"/>
          <w:b/>
          <w:sz w:val="22"/>
          <w:szCs w:val="22"/>
        </w:rPr>
        <w:lastRenderedPageBreak/>
        <w:t>3.1.1. Osnovne sirovine</w:t>
      </w:r>
    </w:p>
    <w:p w:rsidR="00690898" w:rsidRPr="00F77EEB" w:rsidRDefault="00690898" w:rsidP="00690898">
      <w:pPr>
        <w:rPr>
          <w:rFonts w:ascii="Arial" w:hAnsi="Arial" w:cs="Arial"/>
          <w:sz w:val="22"/>
          <w:szCs w:val="22"/>
        </w:rPr>
      </w:pPr>
      <w:r w:rsidRPr="00F77EEB">
        <w:rPr>
          <w:rFonts w:ascii="Arial" w:hAnsi="Arial" w:cs="Arial"/>
          <w:sz w:val="22"/>
          <w:szCs w:val="22"/>
        </w:rPr>
        <w:t>Osnovne sirovine koje se koriste u proizvodnji poliuretanske pjene su:</w:t>
      </w:r>
    </w:p>
    <w:p w:rsidR="00690898" w:rsidRPr="00F77EEB" w:rsidRDefault="00690898" w:rsidP="00CA1AEB">
      <w:pPr>
        <w:pStyle w:val="ListParagraph"/>
        <w:numPr>
          <w:ilvl w:val="0"/>
          <w:numId w:val="19"/>
        </w:numPr>
        <w:rPr>
          <w:rFonts w:ascii="Arial" w:hAnsi="Arial" w:cs="Arial"/>
          <w:sz w:val="22"/>
          <w:szCs w:val="22"/>
        </w:rPr>
      </w:pPr>
      <w:r w:rsidRPr="00F77EEB">
        <w:rPr>
          <w:rFonts w:ascii="Arial" w:hAnsi="Arial" w:cs="Arial"/>
          <w:sz w:val="22"/>
          <w:szCs w:val="22"/>
        </w:rPr>
        <w:t>Toluendiizocijanat (TDI)</w:t>
      </w:r>
      <w:r w:rsidR="00120910" w:rsidRPr="00F77EEB">
        <w:rPr>
          <w:rFonts w:ascii="Arial" w:hAnsi="Arial" w:cs="Arial"/>
          <w:sz w:val="22"/>
          <w:szCs w:val="22"/>
        </w:rPr>
        <w:t>,</w:t>
      </w:r>
    </w:p>
    <w:p w:rsidR="00690898" w:rsidRPr="00F77EEB" w:rsidRDefault="00690898" w:rsidP="00CA1AEB">
      <w:pPr>
        <w:pStyle w:val="ListParagraph"/>
        <w:numPr>
          <w:ilvl w:val="0"/>
          <w:numId w:val="19"/>
        </w:numPr>
        <w:rPr>
          <w:rFonts w:ascii="Arial" w:hAnsi="Arial" w:cs="Arial"/>
          <w:sz w:val="22"/>
          <w:szCs w:val="22"/>
        </w:rPr>
      </w:pPr>
      <w:r w:rsidRPr="00F77EEB">
        <w:rPr>
          <w:rFonts w:ascii="Arial" w:hAnsi="Arial" w:cs="Arial"/>
          <w:sz w:val="22"/>
          <w:szCs w:val="22"/>
        </w:rPr>
        <w:t>Poliol</w:t>
      </w:r>
      <w:r w:rsidR="00120910" w:rsidRPr="00F77EEB">
        <w:rPr>
          <w:rFonts w:ascii="Arial" w:hAnsi="Arial" w:cs="Arial"/>
          <w:sz w:val="22"/>
          <w:szCs w:val="22"/>
        </w:rPr>
        <w:t>.</w:t>
      </w:r>
      <w:r w:rsidRPr="00F77EEB">
        <w:rPr>
          <w:rFonts w:ascii="Arial" w:hAnsi="Arial" w:cs="Arial"/>
          <w:sz w:val="22"/>
          <w:szCs w:val="22"/>
        </w:rPr>
        <w:t xml:space="preserve"> </w:t>
      </w:r>
    </w:p>
    <w:p w:rsidR="00690898" w:rsidRPr="00F77EEB" w:rsidRDefault="00690898" w:rsidP="00690898">
      <w:pPr>
        <w:rPr>
          <w:rFonts w:ascii="Arial" w:hAnsi="Arial" w:cs="Arial"/>
          <w:sz w:val="22"/>
          <w:szCs w:val="22"/>
        </w:rPr>
      </w:pPr>
    </w:p>
    <w:p w:rsidR="00690898" w:rsidRPr="00F77EEB" w:rsidRDefault="00690898" w:rsidP="00690898">
      <w:pPr>
        <w:rPr>
          <w:rFonts w:ascii="Arial" w:hAnsi="Arial" w:cs="Arial"/>
          <w:b/>
          <w:sz w:val="22"/>
          <w:szCs w:val="22"/>
        </w:rPr>
      </w:pPr>
      <w:r w:rsidRPr="00F77EEB">
        <w:rPr>
          <w:rFonts w:ascii="Arial" w:hAnsi="Arial" w:cs="Arial"/>
          <w:b/>
          <w:sz w:val="22"/>
          <w:szCs w:val="22"/>
        </w:rPr>
        <w:t>3.1.2. Pomoćne sirovine</w:t>
      </w:r>
    </w:p>
    <w:p w:rsidR="00690898" w:rsidRPr="00F77EEB" w:rsidRDefault="00690898" w:rsidP="00690898">
      <w:pPr>
        <w:pStyle w:val="Heading1"/>
        <w:ind w:firstLine="720"/>
        <w:rPr>
          <w:rFonts w:cs="Arial"/>
          <w:b w:val="0"/>
          <w:sz w:val="22"/>
          <w:szCs w:val="22"/>
        </w:rPr>
      </w:pPr>
      <w:r w:rsidRPr="00F77EEB">
        <w:rPr>
          <w:rFonts w:cs="Arial"/>
          <w:b w:val="0"/>
          <w:sz w:val="22"/>
          <w:szCs w:val="22"/>
        </w:rPr>
        <w:t xml:space="preserve">1. </w:t>
      </w:r>
      <w:proofErr w:type="gramStart"/>
      <w:r w:rsidRPr="00F77EEB">
        <w:rPr>
          <w:rFonts w:cs="Arial"/>
          <w:b w:val="0"/>
          <w:sz w:val="22"/>
          <w:szCs w:val="22"/>
        </w:rPr>
        <w:t>aktivatori</w:t>
      </w:r>
      <w:proofErr w:type="gramEnd"/>
      <w:r w:rsidRPr="00F77EEB">
        <w:rPr>
          <w:rFonts w:cs="Arial"/>
          <w:b w:val="0"/>
          <w:sz w:val="22"/>
          <w:szCs w:val="22"/>
        </w:rPr>
        <w:t xml:space="preserve">: </w:t>
      </w:r>
    </w:p>
    <w:p w:rsidR="00690898" w:rsidRPr="00F77EEB" w:rsidRDefault="00690898" w:rsidP="00CA1AEB">
      <w:pPr>
        <w:pStyle w:val="Heading1"/>
        <w:ind w:left="1416"/>
        <w:rPr>
          <w:rFonts w:cs="Arial"/>
          <w:b w:val="0"/>
          <w:sz w:val="22"/>
          <w:szCs w:val="22"/>
        </w:rPr>
      </w:pPr>
      <w:r w:rsidRPr="00F77EEB">
        <w:rPr>
          <w:rFonts w:cs="Arial"/>
          <w:b w:val="0"/>
          <w:sz w:val="22"/>
          <w:szCs w:val="22"/>
        </w:rPr>
        <w:t>- Sn-oktoat (COSMOS 29) Sn (II)-izooktoat</w:t>
      </w:r>
      <w:r w:rsidR="00120910" w:rsidRPr="00F77EEB">
        <w:rPr>
          <w:rFonts w:cs="Arial"/>
          <w:b w:val="0"/>
          <w:sz w:val="22"/>
          <w:szCs w:val="22"/>
        </w:rPr>
        <w:t>,</w:t>
      </w:r>
      <w:r w:rsidRPr="00F77EEB">
        <w:rPr>
          <w:rFonts w:cs="Arial"/>
          <w:b w:val="0"/>
          <w:sz w:val="22"/>
          <w:szCs w:val="22"/>
        </w:rPr>
        <w:t xml:space="preserve"> </w:t>
      </w:r>
    </w:p>
    <w:p w:rsidR="00690898" w:rsidRPr="00F77EEB" w:rsidRDefault="00690898" w:rsidP="00CA1AEB">
      <w:pPr>
        <w:pStyle w:val="Heading1"/>
        <w:ind w:left="1416"/>
        <w:rPr>
          <w:rFonts w:cs="Arial"/>
          <w:b w:val="0"/>
          <w:sz w:val="22"/>
          <w:szCs w:val="22"/>
        </w:rPr>
      </w:pPr>
      <w:r w:rsidRPr="00F77EEB">
        <w:rPr>
          <w:rFonts w:cs="Arial"/>
          <w:b w:val="0"/>
          <w:sz w:val="22"/>
          <w:szCs w:val="22"/>
        </w:rPr>
        <w:t xml:space="preserve">- </w:t>
      </w:r>
      <w:proofErr w:type="gramStart"/>
      <w:r w:rsidRPr="00F77EEB">
        <w:rPr>
          <w:rFonts w:cs="Arial"/>
          <w:b w:val="0"/>
          <w:sz w:val="22"/>
          <w:szCs w:val="22"/>
        </w:rPr>
        <w:t>polieter</w:t>
      </w:r>
      <w:proofErr w:type="gramEnd"/>
      <w:r w:rsidRPr="00F77EEB">
        <w:rPr>
          <w:rFonts w:cs="Arial"/>
          <w:b w:val="0"/>
          <w:sz w:val="22"/>
          <w:szCs w:val="22"/>
        </w:rPr>
        <w:t xml:space="preserve"> – polisilioksan</w:t>
      </w:r>
      <w:r w:rsidR="00120910" w:rsidRPr="00F77EEB">
        <w:rPr>
          <w:rFonts w:cs="Arial"/>
          <w:b w:val="0"/>
          <w:sz w:val="22"/>
          <w:szCs w:val="22"/>
        </w:rPr>
        <w:t>,</w:t>
      </w:r>
    </w:p>
    <w:p w:rsidR="00690898" w:rsidRPr="00F77EEB" w:rsidRDefault="00690898" w:rsidP="00CA1AEB">
      <w:pPr>
        <w:pStyle w:val="Heading1"/>
        <w:ind w:left="1416"/>
        <w:rPr>
          <w:rFonts w:cs="Arial"/>
          <w:b w:val="0"/>
          <w:sz w:val="22"/>
          <w:szCs w:val="22"/>
        </w:rPr>
      </w:pPr>
      <w:r w:rsidRPr="00F77EEB">
        <w:rPr>
          <w:rFonts w:cs="Arial"/>
          <w:b w:val="0"/>
          <w:sz w:val="22"/>
          <w:szCs w:val="22"/>
        </w:rPr>
        <w:t xml:space="preserve">- </w:t>
      </w:r>
      <w:proofErr w:type="gramStart"/>
      <w:r w:rsidRPr="00F77EEB">
        <w:rPr>
          <w:rFonts w:cs="Arial"/>
          <w:b w:val="0"/>
          <w:sz w:val="22"/>
          <w:szCs w:val="22"/>
        </w:rPr>
        <w:t>trietiendiamin</w:t>
      </w:r>
      <w:proofErr w:type="gramEnd"/>
      <w:r w:rsidR="00120910" w:rsidRPr="00F77EEB">
        <w:rPr>
          <w:rFonts w:cs="Arial"/>
          <w:b w:val="0"/>
          <w:sz w:val="22"/>
          <w:szCs w:val="22"/>
        </w:rPr>
        <w:t>,</w:t>
      </w:r>
    </w:p>
    <w:p w:rsidR="00690898" w:rsidRPr="00F77EEB" w:rsidRDefault="00690898" w:rsidP="00690898">
      <w:pPr>
        <w:ind w:firstLine="720"/>
        <w:rPr>
          <w:rFonts w:ascii="Arial" w:hAnsi="Arial" w:cs="Arial"/>
          <w:sz w:val="22"/>
          <w:szCs w:val="22"/>
        </w:rPr>
      </w:pPr>
      <w:r w:rsidRPr="00F77EEB">
        <w:rPr>
          <w:rFonts w:ascii="Arial" w:hAnsi="Arial" w:cs="Arial"/>
          <w:sz w:val="22"/>
          <w:szCs w:val="22"/>
        </w:rPr>
        <w:t>2.</w:t>
      </w:r>
      <w:r w:rsidR="00CA1AEB" w:rsidRPr="00F77EEB">
        <w:rPr>
          <w:rFonts w:ascii="Arial" w:hAnsi="Arial" w:cs="Arial"/>
          <w:sz w:val="22"/>
          <w:szCs w:val="22"/>
        </w:rPr>
        <w:t xml:space="preserve"> </w:t>
      </w:r>
      <w:proofErr w:type="gramStart"/>
      <w:r w:rsidRPr="00F77EEB">
        <w:rPr>
          <w:rFonts w:ascii="Arial" w:hAnsi="Arial" w:cs="Arial"/>
          <w:sz w:val="22"/>
          <w:szCs w:val="22"/>
        </w:rPr>
        <w:t>stailizatori</w:t>
      </w:r>
      <w:proofErr w:type="gramEnd"/>
      <w:r w:rsidRPr="00F77EEB">
        <w:rPr>
          <w:rFonts w:ascii="Arial" w:hAnsi="Arial" w:cs="Arial"/>
          <w:sz w:val="22"/>
          <w:szCs w:val="22"/>
        </w:rPr>
        <w:t xml:space="preserve"> ostali aditivi</w:t>
      </w:r>
      <w:r w:rsidR="00120910" w:rsidRPr="00F77EEB">
        <w:rPr>
          <w:rFonts w:ascii="Arial" w:hAnsi="Arial" w:cs="Arial"/>
          <w:sz w:val="22"/>
          <w:szCs w:val="22"/>
        </w:rPr>
        <w:t>,</w:t>
      </w:r>
      <w:r w:rsidRPr="00F77EEB">
        <w:rPr>
          <w:rFonts w:ascii="Arial" w:hAnsi="Arial" w:cs="Arial"/>
          <w:sz w:val="22"/>
          <w:szCs w:val="22"/>
        </w:rPr>
        <w:t xml:space="preserve">     </w:t>
      </w:r>
    </w:p>
    <w:p w:rsidR="00690898" w:rsidRPr="00F77EEB" w:rsidRDefault="00690898" w:rsidP="00690898">
      <w:pPr>
        <w:ind w:firstLine="360"/>
        <w:rPr>
          <w:rFonts w:ascii="Arial" w:hAnsi="Arial" w:cs="Arial"/>
          <w:sz w:val="22"/>
          <w:szCs w:val="22"/>
        </w:rPr>
      </w:pPr>
      <w:r w:rsidRPr="00F77EEB">
        <w:rPr>
          <w:rFonts w:ascii="Arial" w:hAnsi="Arial" w:cs="Arial"/>
          <w:sz w:val="22"/>
          <w:szCs w:val="22"/>
        </w:rPr>
        <w:t xml:space="preserve">    </w:t>
      </w:r>
      <w:r w:rsidR="00CA1AEB" w:rsidRPr="00F77EEB">
        <w:rPr>
          <w:rFonts w:ascii="Arial" w:hAnsi="Arial" w:cs="Arial"/>
          <w:sz w:val="22"/>
          <w:szCs w:val="22"/>
        </w:rPr>
        <w:t xml:space="preserve"> </w:t>
      </w:r>
      <w:r w:rsidRPr="00F77EEB">
        <w:rPr>
          <w:rFonts w:ascii="Arial" w:hAnsi="Arial" w:cs="Arial"/>
          <w:sz w:val="22"/>
          <w:szCs w:val="22"/>
        </w:rPr>
        <w:t xml:space="preserve"> 3. </w:t>
      </w:r>
      <w:proofErr w:type="gramStart"/>
      <w:r w:rsidRPr="00F77EEB">
        <w:rPr>
          <w:rFonts w:ascii="Arial" w:hAnsi="Arial" w:cs="Arial"/>
          <w:sz w:val="22"/>
          <w:szCs w:val="22"/>
        </w:rPr>
        <w:t>papir</w:t>
      </w:r>
      <w:proofErr w:type="gramEnd"/>
      <w:r w:rsidR="00120910" w:rsidRPr="00F77EEB">
        <w:rPr>
          <w:rFonts w:ascii="Arial" w:hAnsi="Arial" w:cs="Arial"/>
          <w:sz w:val="22"/>
          <w:szCs w:val="22"/>
        </w:rPr>
        <w:t>.</w:t>
      </w:r>
    </w:p>
    <w:p w:rsidR="00690898" w:rsidRPr="00F77EEB" w:rsidRDefault="00690898" w:rsidP="00690898">
      <w:pPr>
        <w:rPr>
          <w:rFonts w:ascii="Arial" w:hAnsi="Arial" w:cs="Arial"/>
          <w:sz w:val="22"/>
          <w:szCs w:val="22"/>
        </w:rPr>
      </w:pPr>
    </w:p>
    <w:p w:rsidR="00690898" w:rsidRPr="00F77EEB" w:rsidRDefault="00690898" w:rsidP="00690898">
      <w:pPr>
        <w:pStyle w:val="Heading1"/>
        <w:numPr>
          <w:ilvl w:val="0"/>
          <w:numId w:val="4"/>
        </w:numPr>
        <w:ind w:left="284" w:hanging="284"/>
        <w:rPr>
          <w:rFonts w:cs="Arial"/>
          <w:sz w:val="22"/>
          <w:szCs w:val="22"/>
        </w:rPr>
      </w:pPr>
      <w:r w:rsidRPr="00F77EEB">
        <w:rPr>
          <w:rFonts w:cs="Arial"/>
          <w:sz w:val="22"/>
          <w:szCs w:val="22"/>
        </w:rPr>
        <w:t>Opće obaveze zaštite okoliša</w:t>
      </w:r>
      <w:bookmarkEnd w:id="4"/>
      <w:bookmarkEnd w:id="5"/>
      <w:r w:rsidRPr="00F77EEB">
        <w:rPr>
          <w:rFonts w:cs="Arial"/>
          <w:sz w:val="22"/>
          <w:szCs w:val="22"/>
        </w:rPr>
        <w:t xml:space="preserve"> </w:t>
      </w:r>
    </w:p>
    <w:p w:rsidR="00690898" w:rsidRPr="00F77EEB" w:rsidRDefault="00690898" w:rsidP="00690898">
      <w:pPr>
        <w:pStyle w:val="BodyText2"/>
        <w:ind w:left="360"/>
        <w:rPr>
          <w:rFonts w:cs="Arial"/>
          <w:szCs w:val="22"/>
          <w:lang w:val="hr-HR"/>
        </w:rPr>
      </w:pPr>
    </w:p>
    <w:p w:rsidR="00690898" w:rsidRPr="00F77EEB" w:rsidRDefault="00690898" w:rsidP="00250A1F">
      <w:pPr>
        <w:pStyle w:val="BodyText2"/>
        <w:ind w:left="360"/>
        <w:rPr>
          <w:rFonts w:cs="Arial"/>
          <w:szCs w:val="22"/>
          <w:lang w:val="hr-HR"/>
        </w:rPr>
      </w:pPr>
      <w:r w:rsidRPr="00F77EEB">
        <w:rPr>
          <w:rFonts w:cs="Arial"/>
          <w:szCs w:val="22"/>
          <w:lang w:val="hr-HR"/>
        </w:rPr>
        <w:t>Investitor - „PLAMA-PUR BH“ d.o.o., Kakanj je dužan da  ispuni opće obaveze zaštite okoliša tako da:</w:t>
      </w:r>
    </w:p>
    <w:p w:rsidR="00690898" w:rsidRPr="00F77EEB" w:rsidRDefault="00690898" w:rsidP="00250A1F">
      <w:pPr>
        <w:pStyle w:val="BodyText2"/>
        <w:numPr>
          <w:ilvl w:val="1"/>
          <w:numId w:val="1"/>
        </w:numPr>
        <w:tabs>
          <w:tab w:val="clear" w:pos="1440"/>
        </w:tabs>
        <w:ind w:left="993" w:hanging="284"/>
        <w:rPr>
          <w:rFonts w:cs="Arial"/>
          <w:szCs w:val="22"/>
          <w:lang w:val="hr-HR"/>
        </w:rPr>
      </w:pPr>
      <w:r w:rsidRPr="00F77EEB">
        <w:rPr>
          <w:rFonts w:cs="Arial"/>
          <w:szCs w:val="22"/>
          <w:lang w:val="hr-HR"/>
        </w:rPr>
        <w:t>ne ugrožava niti ometa zdravlje ljudi i ne predstavlja smetnju za ljude koji žive na području uticaja Tvornice za proizvodnju meke poliuretanske pjene ili za okolinu zbog emisija supstanci, buke, mirisa, vibracija, toplote ili emisija iz saobraćaja ili iz postrojenja;</w:t>
      </w:r>
    </w:p>
    <w:p w:rsidR="00690898" w:rsidRPr="00F77EEB" w:rsidRDefault="00690898" w:rsidP="00250A1F">
      <w:pPr>
        <w:pStyle w:val="BodyText2"/>
        <w:numPr>
          <w:ilvl w:val="1"/>
          <w:numId w:val="1"/>
        </w:numPr>
        <w:tabs>
          <w:tab w:val="clear" w:pos="1440"/>
        </w:tabs>
        <w:ind w:left="993" w:hanging="284"/>
        <w:rPr>
          <w:rFonts w:cs="Arial"/>
          <w:szCs w:val="22"/>
          <w:lang w:val="hr-HR"/>
        </w:rPr>
      </w:pPr>
      <w:r w:rsidRPr="00F77EEB">
        <w:rPr>
          <w:rFonts w:cs="Arial"/>
          <w:szCs w:val="22"/>
          <w:lang w:val="hr-HR"/>
        </w:rPr>
        <w:t>preduzme sve odgovarajuće preventivne mjere tako da se spriječi zagađivanje i da se ne prouzrokuje značajniju zagađenost;</w:t>
      </w:r>
    </w:p>
    <w:p w:rsidR="00690898" w:rsidRPr="00F77EEB" w:rsidRDefault="00690898" w:rsidP="00250A1F">
      <w:pPr>
        <w:pStyle w:val="BodyText2"/>
        <w:numPr>
          <w:ilvl w:val="1"/>
          <w:numId w:val="1"/>
        </w:numPr>
        <w:tabs>
          <w:tab w:val="clear" w:pos="1440"/>
        </w:tabs>
        <w:ind w:left="993" w:hanging="284"/>
        <w:rPr>
          <w:rFonts w:cs="Arial"/>
          <w:szCs w:val="22"/>
          <w:lang w:val="hr-HR"/>
        </w:rPr>
      </w:pPr>
      <w:r w:rsidRPr="00F77EEB">
        <w:rPr>
          <w:rFonts w:cs="Arial"/>
          <w:szCs w:val="22"/>
          <w:lang w:val="hr-HR"/>
        </w:rPr>
        <w:t>izbjegava produkciju otpada; a ukoliko dolazi do stvaranja otpada količina svede na najmanju moguću mjeru ili izvrši reciklažu ili ukoliko to nije tehnički ili ekonomski izvodljivo otpad odlaže, a da se pri tome izbjegne ili smanji bilo kakav negativan uticaj na okoliš;</w:t>
      </w:r>
    </w:p>
    <w:p w:rsidR="00690898" w:rsidRPr="00F77EEB" w:rsidRDefault="00690898" w:rsidP="00250A1F">
      <w:pPr>
        <w:pStyle w:val="BodyText2"/>
        <w:numPr>
          <w:ilvl w:val="1"/>
          <w:numId w:val="1"/>
        </w:numPr>
        <w:tabs>
          <w:tab w:val="clear" w:pos="1440"/>
        </w:tabs>
        <w:ind w:left="993" w:hanging="284"/>
        <w:rPr>
          <w:rFonts w:cs="Arial"/>
          <w:szCs w:val="22"/>
          <w:lang w:val="hr-HR"/>
        </w:rPr>
      </w:pPr>
      <w:r w:rsidRPr="00F77EEB">
        <w:rPr>
          <w:rFonts w:cs="Arial"/>
          <w:szCs w:val="22"/>
          <w:lang w:val="hr-HR"/>
        </w:rPr>
        <w:t>efikasno koristi energetske i prirodne resurse;</w:t>
      </w:r>
    </w:p>
    <w:p w:rsidR="00690898" w:rsidRPr="00F77EEB" w:rsidRDefault="00690898" w:rsidP="00250A1F">
      <w:pPr>
        <w:pStyle w:val="BodyText2"/>
        <w:numPr>
          <w:ilvl w:val="1"/>
          <w:numId w:val="1"/>
        </w:numPr>
        <w:tabs>
          <w:tab w:val="clear" w:pos="1440"/>
        </w:tabs>
        <w:ind w:left="993" w:hanging="284"/>
        <w:rPr>
          <w:rFonts w:cs="Arial"/>
          <w:szCs w:val="22"/>
          <w:lang w:val="hr-HR"/>
        </w:rPr>
      </w:pPr>
      <w:r w:rsidRPr="00F77EEB">
        <w:rPr>
          <w:rFonts w:cs="Arial"/>
          <w:szCs w:val="22"/>
          <w:lang w:val="hr-HR"/>
        </w:rPr>
        <w:t>preduzme neophodne mjere za sprječavanje nesreća i ograničavanje njihovih posljedica;</w:t>
      </w:r>
    </w:p>
    <w:p w:rsidR="00690898" w:rsidRPr="00F77EEB" w:rsidRDefault="00690898" w:rsidP="00250A1F">
      <w:pPr>
        <w:pStyle w:val="BodyText2"/>
        <w:numPr>
          <w:ilvl w:val="1"/>
          <w:numId w:val="1"/>
        </w:numPr>
        <w:tabs>
          <w:tab w:val="clear" w:pos="1440"/>
        </w:tabs>
        <w:ind w:left="993" w:hanging="284"/>
        <w:rPr>
          <w:rFonts w:cs="Arial"/>
          <w:szCs w:val="22"/>
          <w:lang w:val="hr-HR" w:eastAsia="hr-HR"/>
        </w:rPr>
      </w:pPr>
      <w:r w:rsidRPr="00F77EEB">
        <w:rPr>
          <w:rFonts w:cs="Arial"/>
          <w:szCs w:val="22"/>
          <w:lang w:val="hr-HR"/>
        </w:rPr>
        <w:t>preduzme neophodne mjere nakon prestanka rada Tvornice za proizvodnju meke poliuretanske pjene da bi se izbjegao bilo kakav rizik od zagađenja i da bi se lokacija na kojoj se postrojenje nalazi vratila u zadovoljavajuće stanje. Zadovoljavajuće stanje znači da su ispunjeni svi standardi kvaliteta okoliša koji su relevantni za lokaciju Tvornice za proizvodnju meke poliuretanske pjene naročito oni koji se tiču zaštite zemljišta i vode; i</w:t>
      </w:r>
    </w:p>
    <w:p w:rsidR="00690898" w:rsidRPr="00F77EEB" w:rsidRDefault="00690898" w:rsidP="00250A1F">
      <w:pPr>
        <w:pStyle w:val="BodyText2"/>
        <w:numPr>
          <w:ilvl w:val="1"/>
          <w:numId w:val="1"/>
        </w:numPr>
        <w:tabs>
          <w:tab w:val="clear" w:pos="1440"/>
        </w:tabs>
        <w:ind w:left="993" w:hanging="284"/>
        <w:rPr>
          <w:rFonts w:cs="Arial"/>
          <w:szCs w:val="22"/>
          <w:lang w:val="hr-HR" w:eastAsia="hr-HR"/>
        </w:rPr>
      </w:pPr>
      <w:r w:rsidRPr="00F77EEB">
        <w:rPr>
          <w:rFonts w:cs="Arial"/>
          <w:szCs w:val="22"/>
          <w:lang w:val="hr-HR"/>
        </w:rPr>
        <w:t>obavijesti Federalno ministarstvo okoliša i turizma ukoliko dođe do značajnih promjena u radu Tvornice za proizvodnju meke poliuretanske pjene ili promjene instaliranog skladišta TDI.</w:t>
      </w:r>
    </w:p>
    <w:p w:rsidR="001E54ED" w:rsidRPr="00F77EEB" w:rsidRDefault="001E54ED" w:rsidP="00690898">
      <w:pPr>
        <w:pStyle w:val="BodyText2"/>
        <w:rPr>
          <w:rFonts w:cs="Arial"/>
          <w:b/>
          <w:szCs w:val="22"/>
          <w:lang w:val="hr-HR"/>
        </w:rPr>
      </w:pPr>
    </w:p>
    <w:p w:rsidR="00690898" w:rsidRPr="00F77EEB" w:rsidRDefault="00690898" w:rsidP="00690898">
      <w:pPr>
        <w:pStyle w:val="BodyText2"/>
        <w:rPr>
          <w:rFonts w:cs="Arial"/>
          <w:b/>
          <w:szCs w:val="22"/>
          <w:lang w:val="hr-HR"/>
        </w:rPr>
      </w:pPr>
      <w:r w:rsidRPr="00F77EEB">
        <w:rPr>
          <w:rFonts w:cs="Arial"/>
          <w:b/>
          <w:szCs w:val="22"/>
          <w:lang w:val="hr-HR"/>
        </w:rPr>
        <w:t>4.1. Mogući uticaji na okoliš</w:t>
      </w:r>
    </w:p>
    <w:p w:rsidR="00690898" w:rsidRPr="00F77EEB" w:rsidRDefault="00690898" w:rsidP="00690898">
      <w:pPr>
        <w:pStyle w:val="BodyText2"/>
        <w:rPr>
          <w:rFonts w:cs="Arial"/>
          <w:szCs w:val="22"/>
          <w:lang w:val="hr-HR"/>
        </w:rPr>
      </w:pPr>
    </w:p>
    <w:p w:rsidR="00690898" w:rsidRPr="00F77EEB" w:rsidRDefault="00690898" w:rsidP="00690898">
      <w:pPr>
        <w:pStyle w:val="BodyText2"/>
        <w:rPr>
          <w:rFonts w:cs="Arial"/>
          <w:b/>
          <w:szCs w:val="22"/>
          <w:lang w:val="hr-HR"/>
        </w:rPr>
      </w:pPr>
      <w:r w:rsidRPr="00F77EEB">
        <w:rPr>
          <w:rFonts w:cs="Arial"/>
          <w:b/>
          <w:szCs w:val="22"/>
          <w:lang w:val="hr-HR"/>
        </w:rPr>
        <w:t>a) uticaj na zrak</w:t>
      </w:r>
    </w:p>
    <w:p w:rsidR="00263E90" w:rsidRPr="00F77EEB" w:rsidRDefault="00263E90" w:rsidP="00690898">
      <w:pPr>
        <w:pStyle w:val="Default"/>
        <w:rPr>
          <w:color w:val="auto"/>
          <w:sz w:val="22"/>
          <w:szCs w:val="22"/>
        </w:rPr>
      </w:pPr>
    </w:p>
    <w:p w:rsidR="00690898" w:rsidRPr="00F77EEB" w:rsidRDefault="00690898" w:rsidP="00690898">
      <w:pPr>
        <w:pStyle w:val="Default"/>
        <w:rPr>
          <w:color w:val="auto"/>
          <w:sz w:val="22"/>
          <w:szCs w:val="22"/>
        </w:rPr>
      </w:pPr>
      <w:r w:rsidRPr="00F77EEB">
        <w:rPr>
          <w:color w:val="auto"/>
          <w:sz w:val="22"/>
          <w:szCs w:val="22"/>
        </w:rPr>
        <w:t xml:space="preserve">Osnovni izvori mogućih emisija zagađujućih materija u zrak su: </w:t>
      </w:r>
    </w:p>
    <w:p w:rsidR="00690898" w:rsidRPr="00F77EEB" w:rsidRDefault="00690898" w:rsidP="00690898">
      <w:pPr>
        <w:pStyle w:val="Default"/>
        <w:numPr>
          <w:ilvl w:val="0"/>
          <w:numId w:val="10"/>
        </w:numPr>
        <w:ind w:left="714" w:hanging="357"/>
        <w:rPr>
          <w:color w:val="auto"/>
          <w:sz w:val="22"/>
          <w:szCs w:val="22"/>
        </w:rPr>
      </w:pPr>
      <w:r w:rsidRPr="00F77EEB">
        <w:rPr>
          <w:color w:val="auto"/>
          <w:sz w:val="22"/>
          <w:szCs w:val="22"/>
        </w:rPr>
        <w:t xml:space="preserve">emisije u procesu proizvodnje </w:t>
      </w:r>
    </w:p>
    <w:p w:rsidR="00690898" w:rsidRPr="00F77EEB" w:rsidRDefault="00690898" w:rsidP="00690898">
      <w:pPr>
        <w:pStyle w:val="Default"/>
        <w:numPr>
          <w:ilvl w:val="0"/>
          <w:numId w:val="10"/>
        </w:numPr>
        <w:ind w:left="714" w:hanging="357"/>
        <w:rPr>
          <w:color w:val="auto"/>
          <w:sz w:val="22"/>
          <w:szCs w:val="22"/>
        </w:rPr>
      </w:pPr>
      <w:r w:rsidRPr="00F77EEB">
        <w:rPr>
          <w:color w:val="auto"/>
          <w:sz w:val="22"/>
          <w:szCs w:val="22"/>
        </w:rPr>
        <w:t xml:space="preserve">emisija od saobraćaja </w:t>
      </w:r>
    </w:p>
    <w:p w:rsidR="00690898" w:rsidRPr="00F77EEB" w:rsidRDefault="00690898" w:rsidP="00690898">
      <w:pPr>
        <w:pStyle w:val="Default"/>
        <w:numPr>
          <w:ilvl w:val="0"/>
          <w:numId w:val="10"/>
        </w:numPr>
        <w:ind w:left="714" w:hanging="357"/>
        <w:rPr>
          <w:color w:val="auto"/>
          <w:sz w:val="22"/>
          <w:szCs w:val="22"/>
        </w:rPr>
      </w:pPr>
      <w:r w:rsidRPr="00F77EEB">
        <w:rPr>
          <w:color w:val="auto"/>
          <w:sz w:val="22"/>
          <w:szCs w:val="22"/>
        </w:rPr>
        <w:t xml:space="preserve">emisije u slučaju akcidenta </w:t>
      </w:r>
    </w:p>
    <w:p w:rsidR="00690898" w:rsidRPr="00F77EEB" w:rsidRDefault="00690898" w:rsidP="00690898">
      <w:pPr>
        <w:pStyle w:val="Default"/>
        <w:rPr>
          <w:color w:val="auto"/>
          <w:sz w:val="22"/>
          <w:szCs w:val="22"/>
        </w:rPr>
      </w:pPr>
    </w:p>
    <w:p w:rsidR="00690898" w:rsidRPr="00F77EEB" w:rsidRDefault="00690898" w:rsidP="00690898">
      <w:pPr>
        <w:pStyle w:val="Default"/>
        <w:rPr>
          <w:color w:val="auto"/>
          <w:sz w:val="22"/>
          <w:szCs w:val="22"/>
        </w:rPr>
      </w:pPr>
      <w:r w:rsidRPr="00F77EEB">
        <w:rPr>
          <w:color w:val="auto"/>
          <w:sz w:val="22"/>
          <w:szCs w:val="22"/>
        </w:rPr>
        <w:t xml:space="preserve">Izvor emisije u zrak je identificiran na mjestima ispusta (ventilacije) iz proizvodnog pogona i zrionice. Karakteristike ventilatora date su u projektnom rješenju u dijelu tehničke dokumentacije: </w:t>
      </w:r>
    </w:p>
    <w:p w:rsidR="00690898" w:rsidRPr="00F77EEB" w:rsidRDefault="00690898" w:rsidP="00690898">
      <w:pPr>
        <w:pStyle w:val="Default"/>
        <w:numPr>
          <w:ilvl w:val="0"/>
          <w:numId w:val="10"/>
        </w:numPr>
        <w:rPr>
          <w:color w:val="auto"/>
          <w:sz w:val="22"/>
          <w:szCs w:val="22"/>
        </w:rPr>
      </w:pPr>
      <w:r w:rsidRPr="00F77EEB">
        <w:rPr>
          <w:color w:val="auto"/>
          <w:sz w:val="22"/>
          <w:szCs w:val="22"/>
        </w:rPr>
        <w:t xml:space="preserve">Dva aksialna ventilatora za dodatno prozračivanje proizvodnje (proizvođač DYNAIR Italija): </w:t>
      </w:r>
    </w:p>
    <w:p w:rsidR="00690898" w:rsidRPr="00F77EEB" w:rsidRDefault="00690898" w:rsidP="00690898">
      <w:pPr>
        <w:pStyle w:val="Default"/>
        <w:rPr>
          <w:color w:val="auto"/>
          <w:sz w:val="22"/>
          <w:szCs w:val="22"/>
        </w:rPr>
      </w:pPr>
    </w:p>
    <w:p w:rsidR="00690898" w:rsidRPr="00F77EEB" w:rsidRDefault="00690898" w:rsidP="00690898">
      <w:pPr>
        <w:pStyle w:val="Default"/>
        <w:rPr>
          <w:color w:val="auto"/>
          <w:sz w:val="22"/>
          <w:szCs w:val="22"/>
        </w:rPr>
      </w:pPr>
      <w:r w:rsidRPr="00F77EEB">
        <w:rPr>
          <w:color w:val="auto"/>
          <w:sz w:val="22"/>
          <w:szCs w:val="22"/>
        </w:rPr>
        <w:t xml:space="preserve">- Tip: CC 402 T </w:t>
      </w:r>
    </w:p>
    <w:p w:rsidR="00690898" w:rsidRPr="00F77EEB" w:rsidRDefault="00690898" w:rsidP="00690898">
      <w:pPr>
        <w:pStyle w:val="Default"/>
        <w:rPr>
          <w:color w:val="auto"/>
          <w:sz w:val="22"/>
          <w:szCs w:val="22"/>
        </w:rPr>
      </w:pPr>
      <w:r w:rsidRPr="00F77EEB">
        <w:rPr>
          <w:color w:val="auto"/>
          <w:sz w:val="22"/>
          <w:szCs w:val="22"/>
        </w:rPr>
        <w:t xml:space="preserve">- Protok zraka … tlačna visina: 4250 Nm3/h … 250 Pa </w:t>
      </w:r>
    </w:p>
    <w:p w:rsidR="00690898" w:rsidRPr="00F77EEB" w:rsidRDefault="00690898" w:rsidP="00690898">
      <w:pPr>
        <w:pStyle w:val="Default"/>
        <w:rPr>
          <w:color w:val="auto"/>
          <w:sz w:val="22"/>
          <w:szCs w:val="22"/>
        </w:rPr>
      </w:pPr>
      <w:r w:rsidRPr="00F77EEB">
        <w:rPr>
          <w:color w:val="auto"/>
          <w:sz w:val="22"/>
          <w:szCs w:val="22"/>
        </w:rPr>
        <w:lastRenderedPageBreak/>
        <w:t xml:space="preserve">- Električni priključak: 3 x 400 V 50 Hz 1,1 kW </w:t>
      </w:r>
    </w:p>
    <w:p w:rsidR="00690898" w:rsidRPr="00F77EEB" w:rsidRDefault="00690898" w:rsidP="00690898">
      <w:pPr>
        <w:pStyle w:val="BodyText2"/>
        <w:rPr>
          <w:rFonts w:cs="Arial"/>
          <w:szCs w:val="22"/>
        </w:rPr>
      </w:pPr>
      <w:r w:rsidRPr="00F77EEB">
        <w:rPr>
          <w:rFonts w:cs="Arial"/>
          <w:szCs w:val="22"/>
        </w:rPr>
        <w:t>- Dimenzija - masa: Ø 496 x 430 mm 30 kg</w:t>
      </w:r>
    </w:p>
    <w:p w:rsidR="00690898" w:rsidRPr="00F77EEB" w:rsidRDefault="00690898" w:rsidP="00690898">
      <w:pPr>
        <w:pStyle w:val="Default"/>
        <w:rPr>
          <w:color w:val="auto"/>
          <w:sz w:val="22"/>
          <w:szCs w:val="22"/>
        </w:rPr>
      </w:pPr>
    </w:p>
    <w:p w:rsidR="00690898" w:rsidRPr="00F77EEB" w:rsidRDefault="00690898" w:rsidP="00690898">
      <w:pPr>
        <w:pStyle w:val="Default"/>
        <w:rPr>
          <w:color w:val="auto"/>
          <w:sz w:val="22"/>
          <w:szCs w:val="22"/>
        </w:rPr>
      </w:pPr>
      <w:r w:rsidRPr="00F77EEB">
        <w:rPr>
          <w:color w:val="auto"/>
          <w:sz w:val="22"/>
          <w:szCs w:val="22"/>
        </w:rPr>
        <w:t xml:space="preserve">Četiri aksialna ventilatora strešne za prozračivanje zironice, (proizvođač DYNAIR Italija): </w:t>
      </w:r>
    </w:p>
    <w:p w:rsidR="00690898" w:rsidRPr="00F77EEB" w:rsidRDefault="00690898" w:rsidP="00690898">
      <w:pPr>
        <w:pStyle w:val="Default"/>
        <w:rPr>
          <w:color w:val="auto"/>
          <w:sz w:val="22"/>
          <w:szCs w:val="22"/>
        </w:rPr>
      </w:pPr>
      <w:r w:rsidRPr="00F77EEB">
        <w:rPr>
          <w:color w:val="auto"/>
          <w:sz w:val="22"/>
          <w:szCs w:val="22"/>
        </w:rPr>
        <w:t xml:space="preserve">- Tip: FC 566 T </w:t>
      </w:r>
    </w:p>
    <w:p w:rsidR="00690898" w:rsidRPr="00F77EEB" w:rsidRDefault="00690898" w:rsidP="00690898">
      <w:pPr>
        <w:pStyle w:val="Default"/>
        <w:rPr>
          <w:color w:val="auto"/>
          <w:sz w:val="22"/>
          <w:szCs w:val="22"/>
        </w:rPr>
      </w:pPr>
      <w:r w:rsidRPr="00F77EEB">
        <w:rPr>
          <w:color w:val="auto"/>
          <w:sz w:val="22"/>
          <w:szCs w:val="22"/>
        </w:rPr>
        <w:t xml:space="preserve">- Protok zraka … tlačna visina: 6000 Nm3/h … 150 Pa </w:t>
      </w:r>
    </w:p>
    <w:p w:rsidR="00690898" w:rsidRPr="00F77EEB" w:rsidRDefault="00690898" w:rsidP="00690898">
      <w:pPr>
        <w:pStyle w:val="Default"/>
        <w:rPr>
          <w:color w:val="auto"/>
          <w:sz w:val="22"/>
          <w:szCs w:val="22"/>
        </w:rPr>
      </w:pPr>
      <w:r w:rsidRPr="00F77EEB">
        <w:rPr>
          <w:color w:val="auto"/>
          <w:sz w:val="22"/>
          <w:szCs w:val="22"/>
        </w:rPr>
        <w:t xml:space="preserve">- Električni priključak: 3 x 400 V 50 Hz 0,55 kW </w:t>
      </w:r>
    </w:p>
    <w:p w:rsidR="00690898" w:rsidRPr="00F77EEB" w:rsidRDefault="00690898" w:rsidP="00690898">
      <w:pPr>
        <w:pStyle w:val="Default"/>
        <w:rPr>
          <w:color w:val="auto"/>
          <w:sz w:val="22"/>
          <w:szCs w:val="22"/>
        </w:rPr>
      </w:pPr>
      <w:r w:rsidRPr="00F77EEB">
        <w:rPr>
          <w:color w:val="auto"/>
          <w:sz w:val="22"/>
          <w:szCs w:val="22"/>
        </w:rPr>
        <w:t xml:space="preserve">- Dimenzija - masa: Ø 1100 x 750 mm 57 kg </w:t>
      </w:r>
    </w:p>
    <w:p w:rsidR="00690898" w:rsidRPr="00F77EEB" w:rsidRDefault="00690898" w:rsidP="00690898">
      <w:pPr>
        <w:pStyle w:val="BodyText2"/>
        <w:rPr>
          <w:rFonts w:cs="Arial"/>
          <w:szCs w:val="22"/>
        </w:rPr>
      </w:pPr>
    </w:p>
    <w:p w:rsidR="00690898" w:rsidRPr="00F77EEB" w:rsidRDefault="00690898" w:rsidP="00690898">
      <w:pPr>
        <w:pStyle w:val="BodyText2"/>
        <w:rPr>
          <w:rFonts w:cs="Arial"/>
          <w:szCs w:val="22"/>
        </w:rPr>
      </w:pPr>
      <w:r w:rsidRPr="00F77EEB">
        <w:rPr>
          <w:rFonts w:cs="Arial"/>
          <w:szCs w:val="22"/>
        </w:rPr>
        <w:t>Kod proizvodnje poliuretanskih mekih pjena u zrak preko ventilacijskih uređaja može doći do ispuštanja CO2, toluendiizocianata, amina.</w:t>
      </w:r>
    </w:p>
    <w:p w:rsidR="00690898" w:rsidRPr="00F77EEB" w:rsidRDefault="00690898" w:rsidP="00690898">
      <w:pPr>
        <w:pStyle w:val="BodyText2"/>
        <w:rPr>
          <w:rFonts w:cs="Arial"/>
          <w:szCs w:val="22"/>
        </w:rPr>
      </w:pPr>
    </w:p>
    <w:p w:rsidR="00690898" w:rsidRPr="00F77EEB" w:rsidRDefault="00690898" w:rsidP="00690898">
      <w:pPr>
        <w:pStyle w:val="BodyText2"/>
        <w:rPr>
          <w:rFonts w:cs="Arial"/>
          <w:b/>
          <w:szCs w:val="22"/>
        </w:rPr>
      </w:pPr>
      <w:r w:rsidRPr="00F77EEB">
        <w:rPr>
          <w:rFonts w:cs="Arial"/>
          <w:b/>
          <w:szCs w:val="22"/>
        </w:rPr>
        <w:t xml:space="preserve">b) </w:t>
      </w:r>
      <w:proofErr w:type="gramStart"/>
      <w:r w:rsidRPr="00F77EEB">
        <w:rPr>
          <w:rFonts w:cs="Arial"/>
          <w:b/>
          <w:szCs w:val="22"/>
        </w:rPr>
        <w:t>uticaj</w:t>
      </w:r>
      <w:proofErr w:type="gramEnd"/>
      <w:r w:rsidRPr="00F77EEB">
        <w:rPr>
          <w:rFonts w:cs="Arial"/>
          <w:b/>
          <w:szCs w:val="22"/>
        </w:rPr>
        <w:t xml:space="preserve"> na vode</w:t>
      </w:r>
    </w:p>
    <w:p w:rsidR="00690898" w:rsidRPr="00F77EEB" w:rsidRDefault="00690898" w:rsidP="00690898">
      <w:pPr>
        <w:pStyle w:val="BodyText2"/>
        <w:rPr>
          <w:rFonts w:cs="Arial"/>
          <w:szCs w:val="22"/>
        </w:rPr>
      </w:pPr>
    </w:p>
    <w:p w:rsidR="00690898" w:rsidRPr="00F77EEB" w:rsidRDefault="00690898" w:rsidP="000D4C3F">
      <w:pPr>
        <w:pStyle w:val="Default"/>
        <w:jc w:val="both"/>
        <w:rPr>
          <w:color w:val="auto"/>
          <w:sz w:val="22"/>
          <w:szCs w:val="22"/>
        </w:rPr>
      </w:pPr>
      <w:r w:rsidRPr="00F77EEB">
        <w:rPr>
          <w:color w:val="auto"/>
          <w:sz w:val="22"/>
          <w:szCs w:val="22"/>
        </w:rPr>
        <w:t xml:space="preserve">U samom procesu proizvodnje ne dolazi do nastanka otpadnih voda. I obzirom da nije planiran priključak na kanalizacionu mrežu za predmetni objekat, ne postoji uticaj na vode u slučaju normalnog rada postrojenja dok u slučaju akcidenta, konkretno izlijevanja kemikalija ili izbijanja požara, odnosno gašenja požara može doći do veće kontaminacije tla i podzemnih voda. </w:t>
      </w:r>
    </w:p>
    <w:p w:rsidR="00690898" w:rsidRPr="00F77EEB" w:rsidRDefault="00690898" w:rsidP="00690898">
      <w:pPr>
        <w:pStyle w:val="BodyText2"/>
        <w:rPr>
          <w:rFonts w:cs="Arial"/>
          <w:szCs w:val="22"/>
        </w:rPr>
      </w:pPr>
      <w:r w:rsidRPr="00F77EEB">
        <w:rPr>
          <w:rFonts w:cs="Arial"/>
          <w:szCs w:val="22"/>
        </w:rPr>
        <w:t xml:space="preserve">S obzirom da je tehnologija relativno čista prostorije se mogu čistiti i suhim </w:t>
      </w:r>
      <w:proofErr w:type="gramStart"/>
      <w:r w:rsidRPr="00F77EEB">
        <w:rPr>
          <w:rFonts w:cs="Arial"/>
          <w:szCs w:val="22"/>
        </w:rPr>
        <w:t>ili</w:t>
      </w:r>
      <w:proofErr w:type="gramEnd"/>
      <w:r w:rsidRPr="00F77EEB">
        <w:rPr>
          <w:rFonts w:cs="Arial"/>
          <w:szCs w:val="22"/>
        </w:rPr>
        <w:t xml:space="preserve"> mokrim postupcima ali nema potrebe za redovno pranje istih. Što se tiče otpadnih voda </w:t>
      </w:r>
      <w:proofErr w:type="gramStart"/>
      <w:r w:rsidRPr="00F77EEB">
        <w:rPr>
          <w:rFonts w:cs="Arial"/>
          <w:szCs w:val="22"/>
        </w:rPr>
        <w:t>od</w:t>
      </w:r>
      <w:proofErr w:type="gramEnd"/>
      <w:r w:rsidRPr="00F77EEB">
        <w:rPr>
          <w:rFonts w:cs="Arial"/>
          <w:szCs w:val="22"/>
        </w:rPr>
        <w:t xml:space="preserve"> pranja radnog poligona njih je veoma malo jer se konkretno postrojenje, čije je zaprljanje jedino značajno, ne pere vodom nego se čisti azotom ili karbon dioksidom.</w:t>
      </w:r>
    </w:p>
    <w:p w:rsidR="00690898" w:rsidRPr="00F77EEB" w:rsidRDefault="00690898" w:rsidP="00690898">
      <w:pPr>
        <w:pStyle w:val="BodyText2"/>
        <w:rPr>
          <w:rFonts w:cs="Arial"/>
          <w:szCs w:val="22"/>
        </w:rPr>
      </w:pPr>
    </w:p>
    <w:p w:rsidR="00690898" w:rsidRPr="00F77EEB" w:rsidRDefault="00690898" w:rsidP="00690898">
      <w:pPr>
        <w:pStyle w:val="BodyText2"/>
        <w:rPr>
          <w:rFonts w:cs="Arial"/>
          <w:b/>
          <w:szCs w:val="22"/>
        </w:rPr>
      </w:pPr>
      <w:r w:rsidRPr="00F77EEB">
        <w:rPr>
          <w:rFonts w:cs="Arial"/>
          <w:b/>
          <w:szCs w:val="22"/>
        </w:rPr>
        <w:t xml:space="preserve">c) </w:t>
      </w:r>
      <w:proofErr w:type="gramStart"/>
      <w:r w:rsidRPr="00F77EEB">
        <w:rPr>
          <w:rFonts w:cs="Arial"/>
          <w:b/>
          <w:szCs w:val="22"/>
        </w:rPr>
        <w:t>uticaj</w:t>
      </w:r>
      <w:proofErr w:type="gramEnd"/>
      <w:r w:rsidRPr="00F77EEB">
        <w:rPr>
          <w:rFonts w:cs="Arial"/>
          <w:b/>
          <w:szCs w:val="22"/>
        </w:rPr>
        <w:t xml:space="preserve"> buke</w:t>
      </w:r>
    </w:p>
    <w:p w:rsidR="00690898" w:rsidRPr="00F77EEB" w:rsidRDefault="00690898" w:rsidP="00690898">
      <w:pPr>
        <w:pStyle w:val="BodyText2"/>
        <w:rPr>
          <w:rFonts w:cs="Arial"/>
          <w:szCs w:val="22"/>
        </w:rPr>
      </w:pPr>
    </w:p>
    <w:p w:rsidR="00690898" w:rsidRPr="00F77EEB" w:rsidRDefault="00690898" w:rsidP="00690898">
      <w:pPr>
        <w:pStyle w:val="Default"/>
        <w:rPr>
          <w:color w:val="auto"/>
          <w:sz w:val="22"/>
          <w:szCs w:val="22"/>
        </w:rPr>
      </w:pPr>
      <w:r w:rsidRPr="00F77EEB">
        <w:rPr>
          <w:color w:val="auto"/>
          <w:sz w:val="22"/>
          <w:szCs w:val="22"/>
        </w:rPr>
        <w:t xml:space="preserve">Izvori buke su rad postrojenja, rad motora i kretanje kamiona. </w:t>
      </w:r>
    </w:p>
    <w:p w:rsidR="00690898" w:rsidRPr="00F77EEB" w:rsidRDefault="00690898" w:rsidP="00690898">
      <w:pPr>
        <w:pStyle w:val="Default"/>
        <w:rPr>
          <w:color w:val="auto"/>
          <w:sz w:val="22"/>
          <w:szCs w:val="22"/>
        </w:rPr>
      </w:pPr>
      <w:r w:rsidRPr="00F77EEB">
        <w:rPr>
          <w:color w:val="auto"/>
          <w:sz w:val="22"/>
          <w:szCs w:val="22"/>
        </w:rPr>
        <w:t xml:space="preserve">Izvori buke sa predmetne lokacije su: </w:t>
      </w:r>
    </w:p>
    <w:p w:rsidR="00690898" w:rsidRPr="00F77EEB" w:rsidRDefault="00690898" w:rsidP="00690898">
      <w:pPr>
        <w:pStyle w:val="Default"/>
        <w:numPr>
          <w:ilvl w:val="0"/>
          <w:numId w:val="8"/>
        </w:numPr>
        <w:rPr>
          <w:color w:val="auto"/>
          <w:sz w:val="22"/>
          <w:szCs w:val="22"/>
        </w:rPr>
      </w:pPr>
      <w:r w:rsidRPr="00F77EEB">
        <w:rPr>
          <w:color w:val="auto"/>
          <w:sz w:val="22"/>
          <w:szCs w:val="22"/>
        </w:rPr>
        <w:t xml:space="preserve">Buka postrojenja, </w:t>
      </w:r>
    </w:p>
    <w:p w:rsidR="00690898" w:rsidRPr="00F77EEB" w:rsidRDefault="00690898" w:rsidP="00690898">
      <w:pPr>
        <w:pStyle w:val="Default"/>
        <w:numPr>
          <w:ilvl w:val="0"/>
          <w:numId w:val="8"/>
        </w:numPr>
        <w:rPr>
          <w:color w:val="auto"/>
          <w:sz w:val="22"/>
          <w:szCs w:val="22"/>
        </w:rPr>
      </w:pPr>
      <w:r w:rsidRPr="00F77EEB">
        <w:rPr>
          <w:color w:val="auto"/>
          <w:sz w:val="22"/>
          <w:szCs w:val="22"/>
        </w:rPr>
        <w:t xml:space="preserve">Unutarnji pogonski prijevoz, </w:t>
      </w:r>
    </w:p>
    <w:p w:rsidR="00690898" w:rsidRPr="00F77EEB" w:rsidRDefault="00690898" w:rsidP="00690898">
      <w:pPr>
        <w:pStyle w:val="Default"/>
        <w:numPr>
          <w:ilvl w:val="0"/>
          <w:numId w:val="8"/>
        </w:numPr>
        <w:rPr>
          <w:color w:val="auto"/>
          <w:sz w:val="22"/>
          <w:szCs w:val="22"/>
        </w:rPr>
      </w:pPr>
      <w:r w:rsidRPr="00F77EEB">
        <w:rPr>
          <w:color w:val="auto"/>
          <w:sz w:val="22"/>
          <w:szCs w:val="22"/>
        </w:rPr>
        <w:t xml:space="preserve">Željeznička linija i cesta koje su nedaleko od postrojenja </w:t>
      </w:r>
    </w:p>
    <w:p w:rsidR="00690898" w:rsidRPr="00F77EEB" w:rsidRDefault="00690898" w:rsidP="00690898">
      <w:pPr>
        <w:pStyle w:val="BodyText2"/>
        <w:rPr>
          <w:rFonts w:cs="Arial"/>
          <w:szCs w:val="22"/>
        </w:rPr>
      </w:pPr>
    </w:p>
    <w:p w:rsidR="00690898" w:rsidRPr="00F77EEB" w:rsidRDefault="00690898" w:rsidP="00690898">
      <w:pPr>
        <w:pStyle w:val="Default"/>
        <w:rPr>
          <w:b/>
          <w:bCs/>
          <w:color w:val="auto"/>
          <w:sz w:val="22"/>
          <w:szCs w:val="22"/>
        </w:rPr>
      </w:pPr>
    </w:p>
    <w:p w:rsidR="00690898" w:rsidRPr="00F77EEB" w:rsidRDefault="00690898" w:rsidP="00690898">
      <w:pPr>
        <w:pStyle w:val="Default"/>
        <w:rPr>
          <w:color w:val="auto"/>
          <w:sz w:val="22"/>
          <w:szCs w:val="22"/>
        </w:rPr>
      </w:pPr>
      <w:r w:rsidRPr="00F77EEB">
        <w:rPr>
          <w:b/>
          <w:bCs/>
          <w:color w:val="auto"/>
          <w:sz w:val="22"/>
          <w:szCs w:val="22"/>
        </w:rPr>
        <w:t xml:space="preserve">d) Uticaj na resurse </w:t>
      </w:r>
    </w:p>
    <w:p w:rsidR="00690898" w:rsidRPr="00F77EEB" w:rsidRDefault="00690898" w:rsidP="00690898">
      <w:pPr>
        <w:pStyle w:val="Default"/>
        <w:rPr>
          <w:color w:val="auto"/>
          <w:sz w:val="22"/>
          <w:szCs w:val="22"/>
        </w:rPr>
      </w:pPr>
      <w:r w:rsidRPr="00F77EEB">
        <w:rPr>
          <w:color w:val="auto"/>
          <w:sz w:val="22"/>
          <w:szCs w:val="22"/>
        </w:rPr>
        <w:t xml:space="preserve">Postrojenje u procesu proizvodnje kao resurse koristi: </w:t>
      </w:r>
    </w:p>
    <w:p w:rsidR="00690898" w:rsidRPr="00F77EEB" w:rsidRDefault="00690898" w:rsidP="00690898">
      <w:pPr>
        <w:pStyle w:val="Default"/>
        <w:numPr>
          <w:ilvl w:val="0"/>
          <w:numId w:val="9"/>
        </w:numPr>
        <w:ind w:left="714" w:hanging="357"/>
        <w:rPr>
          <w:color w:val="auto"/>
          <w:sz w:val="22"/>
          <w:szCs w:val="22"/>
        </w:rPr>
      </w:pPr>
      <w:r w:rsidRPr="00F77EEB">
        <w:rPr>
          <w:color w:val="auto"/>
          <w:sz w:val="22"/>
          <w:szCs w:val="22"/>
        </w:rPr>
        <w:t xml:space="preserve">Hemikalije </w:t>
      </w:r>
    </w:p>
    <w:p w:rsidR="00690898" w:rsidRPr="00F77EEB" w:rsidRDefault="00690898" w:rsidP="00690898">
      <w:pPr>
        <w:pStyle w:val="Default"/>
        <w:numPr>
          <w:ilvl w:val="0"/>
          <w:numId w:val="9"/>
        </w:numPr>
        <w:ind w:left="714" w:hanging="357"/>
        <w:rPr>
          <w:color w:val="auto"/>
          <w:sz w:val="22"/>
          <w:szCs w:val="22"/>
        </w:rPr>
      </w:pPr>
      <w:r w:rsidRPr="00F77EEB">
        <w:rPr>
          <w:color w:val="auto"/>
          <w:sz w:val="22"/>
          <w:szCs w:val="22"/>
        </w:rPr>
        <w:t xml:space="preserve">Voda </w:t>
      </w:r>
    </w:p>
    <w:p w:rsidR="00690898" w:rsidRPr="00F77EEB" w:rsidRDefault="00690898" w:rsidP="00690898">
      <w:pPr>
        <w:pStyle w:val="Default"/>
        <w:numPr>
          <w:ilvl w:val="0"/>
          <w:numId w:val="9"/>
        </w:numPr>
        <w:ind w:left="714" w:hanging="357"/>
        <w:rPr>
          <w:color w:val="auto"/>
          <w:sz w:val="22"/>
          <w:szCs w:val="22"/>
        </w:rPr>
      </w:pPr>
      <w:r w:rsidRPr="00F77EEB">
        <w:rPr>
          <w:color w:val="auto"/>
          <w:sz w:val="22"/>
          <w:szCs w:val="22"/>
        </w:rPr>
        <w:t xml:space="preserve">Papir </w:t>
      </w:r>
    </w:p>
    <w:p w:rsidR="00690898" w:rsidRPr="00F77EEB" w:rsidRDefault="00690898" w:rsidP="00690898">
      <w:pPr>
        <w:pStyle w:val="Default"/>
        <w:numPr>
          <w:ilvl w:val="0"/>
          <w:numId w:val="9"/>
        </w:numPr>
        <w:ind w:left="714" w:hanging="357"/>
        <w:rPr>
          <w:color w:val="auto"/>
          <w:sz w:val="22"/>
          <w:szCs w:val="22"/>
        </w:rPr>
      </w:pPr>
      <w:r w:rsidRPr="00F77EEB">
        <w:rPr>
          <w:color w:val="auto"/>
          <w:sz w:val="22"/>
          <w:szCs w:val="22"/>
        </w:rPr>
        <w:t xml:space="preserve">Električna energija </w:t>
      </w:r>
    </w:p>
    <w:p w:rsidR="00690898" w:rsidRPr="00F77EEB" w:rsidRDefault="00690898" w:rsidP="00690898">
      <w:pPr>
        <w:pStyle w:val="Default"/>
        <w:rPr>
          <w:color w:val="auto"/>
          <w:sz w:val="22"/>
          <w:szCs w:val="22"/>
        </w:rPr>
      </w:pPr>
    </w:p>
    <w:p w:rsidR="00690898" w:rsidRPr="00F77EEB" w:rsidRDefault="00690898" w:rsidP="00690898">
      <w:pPr>
        <w:pStyle w:val="BodyText2"/>
        <w:rPr>
          <w:rFonts w:cs="Arial"/>
          <w:szCs w:val="22"/>
        </w:rPr>
      </w:pPr>
      <w:r w:rsidRPr="00F77EEB">
        <w:rPr>
          <w:rFonts w:cs="Arial"/>
          <w:szCs w:val="22"/>
        </w:rPr>
        <w:t xml:space="preserve">Postrojenje za proizvodnju koristi hemikalije koje ne predstavljaju prirodne resurse već su dobijene sintetičkim putem i kao takve proizvedene u cilju daljnjeg korištenja u proizvodnji, </w:t>
      </w:r>
      <w:proofErr w:type="gramStart"/>
      <w:r w:rsidRPr="00F77EEB">
        <w:rPr>
          <w:rFonts w:cs="Arial"/>
          <w:szCs w:val="22"/>
        </w:rPr>
        <w:t>tj.,</w:t>
      </w:r>
      <w:proofErr w:type="gramEnd"/>
      <w:r w:rsidRPr="00F77EEB">
        <w:rPr>
          <w:rFonts w:cs="Arial"/>
          <w:szCs w:val="22"/>
        </w:rPr>
        <w:t xml:space="preserve"> kao polufabrikati. Voda se koristi </w:t>
      </w:r>
      <w:proofErr w:type="gramStart"/>
      <w:r w:rsidRPr="00F77EEB">
        <w:rPr>
          <w:rFonts w:cs="Arial"/>
          <w:szCs w:val="22"/>
        </w:rPr>
        <w:t>ali</w:t>
      </w:r>
      <w:proofErr w:type="gramEnd"/>
      <w:r w:rsidRPr="00F77EEB">
        <w:rPr>
          <w:rFonts w:cs="Arial"/>
          <w:szCs w:val="22"/>
        </w:rPr>
        <w:t xml:space="preserve"> kao sirovina ali u veoma malim količinama cca 5 litara na sat u toku proizvodnog procesa. Papir se koristi kao podloga za izlijevanje mase </w:t>
      </w:r>
      <w:proofErr w:type="gramStart"/>
      <w:r w:rsidRPr="00F77EEB">
        <w:rPr>
          <w:rFonts w:cs="Arial"/>
          <w:szCs w:val="22"/>
        </w:rPr>
        <w:t>od</w:t>
      </w:r>
      <w:proofErr w:type="gramEnd"/>
      <w:r w:rsidRPr="00F77EEB">
        <w:rPr>
          <w:rFonts w:cs="Arial"/>
          <w:szCs w:val="22"/>
        </w:rPr>
        <w:t xml:space="preserve"> koje nastaje pjena, tačnije služi da fizičku razvoji postrojenje i tečnu masu te da obezbjedi kontinualno izljevanje i oblikovanje mase. Papir koji se koristi </w:t>
      </w:r>
      <w:proofErr w:type="gramStart"/>
      <w:r w:rsidRPr="00F77EEB">
        <w:rPr>
          <w:rFonts w:cs="Arial"/>
          <w:szCs w:val="22"/>
        </w:rPr>
        <w:t>sa</w:t>
      </w:r>
      <w:proofErr w:type="gramEnd"/>
      <w:r w:rsidRPr="00F77EEB">
        <w:rPr>
          <w:rFonts w:cs="Arial"/>
          <w:szCs w:val="22"/>
        </w:rPr>
        <w:t xml:space="preserve"> jedne strane je plastificiran ili silikoniziran. Nakon sušenja pjene papir se odvaja s </w:t>
      </w:r>
      <w:proofErr w:type="gramStart"/>
      <w:r w:rsidRPr="00F77EEB">
        <w:rPr>
          <w:rFonts w:cs="Arial"/>
          <w:szCs w:val="22"/>
        </w:rPr>
        <w:t>tim</w:t>
      </w:r>
      <w:proofErr w:type="gramEnd"/>
      <w:r w:rsidRPr="00F77EEB">
        <w:rPr>
          <w:rFonts w:cs="Arial"/>
          <w:szCs w:val="22"/>
        </w:rPr>
        <w:t xml:space="preserve"> da plastificirani sloj ostaje na pjeni a odvaja se čisti papir. Takav papir se odvozi u firme koje su osposobljene izvršiti njegovu reciklažu.</w:t>
      </w:r>
    </w:p>
    <w:p w:rsidR="00690898" w:rsidRPr="00F77EEB" w:rsidRDefault="00690898" w:rsidP="00690898">
      <w:pPr>
        <w:pStyle w:val="BodyText2"/>
        <w:rPr>
          <w:rFonts w:cs="Arial"/>
          <w:szCs w:val="22"/>
        </w:rPr>
      </w:pPr>
    </w:p>
    <w:p w:rsidR="00690898" w:rsidRPr="00F77EEB" w:rsidRDefault="00690898" w:rsidP="00690898">
      <w:pPr>
        <w:pStyle w:val="Default"/>
        <w:rPr>
          <w:color w:val="auto"/>
          <w:sz w:val="22"/>
          <w:szCs w:val="22"/>
        </w:rPr>
      </w:pPr>
      <w:r w:rsidRPr="00F77EEB">
        <w:rPr>
          <w:b/>
          <w:color w:val="auto"/>
          <w:sz w:val="22"/>
          <w:szCs w:val="22"/>
        </w:rPr>
        <w:t>e)</w:t>
      </w:r>
      <w:r w:rsidRPr="00F77EEB">
        <w:rPr>
          <w:color w:val="auto"/>
          <w:sz w:val="22"/>
          <w:szCs w:val="22"/>
        </w:rPr>
        <w:t xml:space="preserve"> </w:t>
      </w:r>
      <w:r w:rsidRPr="00F77EEB">
        <w:rPr>
          <w:b/>
          <w:bCs/>
          <w:color w:val="auto"/>
          <w:sz w:val="22"/>
          <w:szCs w:val="22"/>
        </w:rPr>
        <w:t xml:space="preserve">Čvrsti otpad </w:t>
      </w:r>
    </w:p>
    <w:p w:rsidR="00690898" w:rsidRPr="00F77EEB" w:rsidRDefault="00690898" w:rsidP="00690898">
      <w:pPr>
        <w:pStyle w:val="BodyText2"/>
        <w:rPr>
          <w:rFonts w:cs="Arial"/>
          <w:szCs w:val="22"/>
        </w:rPr>
      </w:pPr>
    </w:p>
    <w:p w:rsidR="00690898" w:rsidRPr="00F77EEB" w:rsidRDefault="00690898" w:rsidP="00690898">
      <w:pPr>
        <w:pStyle w:val="BodyText2"/>
        <w:rPr>
          <w:rFonts w:cs="Arial"/>
          <w:szCs w:val="22"/>
        </w:rPr>
      </w:pPr>
      <w:r w:rsidRPr="00F77EEB">
        <w:rPr>
          <w:rFonts w:cs="Arial"/>
          <w:szCs w:val="22"/>
        </w:rPr>
        <w:t xml:space="preserve">Proizvodni proces je planiran tako da se većina materijala u procesu proizvodnje vraća u sam proizvodni proces, </w:t>
      </w:r>
      <w:proofErr w:type="gramStart"/>
      <w:r w:rsidRPr="00F77EEB">
        <w:rPr>
          <w:rFonts w:cs="Arial"/>
          <w:szCs w:val="22"/>
        </w:rPr>
        <w:t>a</w:t>
      </w:r>
      <w:proofErr w:type="gramEnd"/>
      <w:r w:rsidRPr="00F77EEB">
        <w:rPr>
          <w:rFonts w:cs="Arial"/>
          <w:szCs w:val="22"/>
        </w:rPr>
        <w:t xml:space="preserve"> otpad se svodi na:</w:t>
      </w:r>
    </w:p>
    <w:p w:rsidR="00690898" w:rsidRPr="00F77EEB" w:rsidRDefault="00690898" w:rsidP="00690898">
      <w:pPr>
        <w:numPr>
          <w:ilvl w:val="0"/>
          <w:numId w:val="11"/>
        </w:numPr>
        <w:autoSpaceDE w:val="0"/>
        <w:autoSpaceDN w:val="0"/>
        <w:adjustRightInd w:val="0"/>
        <w:rPr>
          <w:rFonts w:ascii="Arial" w:hAnsi="Arial" w:cs="Arial"/>
          <w:sz w:val="22"/>
          <w:szCs w:val="22"/>
          <w:lang w:val="bs-Latn-BA" w:eastAsia="bs-Latn-BA"/>
        </w:rPr>
      </w:pPr>
      <w:r w:rsidRPr="00F77EEB">
        <w:rPr>
          <w:rFonts w:ascii="Arial" w:hAnsi="Arial" w:cs="Arial"/>
          <w:sz w:val="22"/>
          <w:szCs w:val="22"/>
          <w:lang w:val="bs-Latn-BA" w:eastAsia="bs-Latn-BA"/>
        </w:rPr>
        <w:t xml:space="preserve">ambalažu od sirovina </w:t>
      </w:r>
    </w:p>
    <w:p w:rsidR="00690898" w:rsidRPr="00F77EEB" w:rsidRDefault="00690898" w:rsidP="00690898">
      <w:pPr>
        <w:numPr>
          <w:ilvl w:val="0"/>
          <w:numId w:val="11"/>
        </w:numPr>
        <w:autoSpaceDE w:val="0"/>
        <w:autoSpaceDN w:val="0"/>
        <w:adjustRightInd w:val="0"/>
        <w:rPr>
          <w:rFonts w:ascii="Arial" w:hAnsi="Arial" w:cs="Arial"/>
          <w:sz w:val="22"/>
          <w:szCs w:val="22"/>
          <w:lang w:val="bs-Latn-BA" w:eastAsia="bs-Latn-BA"/>
        </w:rPr>
      </w:pPr>
      <w:r w:rsidRPr="00F77EEB">
        <w:rPr>
          <w:rFonts w:ascii="Arial" w:hAnsi="Arial" w:cs="Arial"/>
          <w:sz w:val="22"/>
          <w:szCs w:val="22"/>
          <w:lang w:val="bs-Latn-BA" w:eastAsia="bs-Latn-BA"/>
        </w:rPr>
        <w:t>papir iz procesa proizvodnje.</w:t>
      </w:r>
    </w:p>
    <w:p w:rsidR="00690898" w:rsidRPr="00F77EEB" w:rsidRDefault="00690898" w:rsidP="00690898">
      <w:pPr>
        <w:autoSpaceDE w:val="0"/>
        <w:autoSpaceDN w:val="0"/>
        <w:adjustRightInd w:val="0"/>
        <w:rPr>
          <w:rFonts w:ascii="Arial" w:hAnsi="Arial" w:cs="Arial"/>
          <w:sz w:val="22"/>
          <w:szCs w:val="22"/>
          <w:lang w:val="bs-Latn-BA" w:eastAsia="bs-Latn-BA"/>
        </w:rPr>
      </w:pPr>
      <w:r w:rsidRPr="00F77EEB">
        <w:rPr>
          <w:rFonts w:ascii="Arial" w:hAnsi="Arial" w:cs="Arial"/>
          <w:sz w:val="22"/>
          <w:szCs w:val="22"/>
          <w:lang w:val="bs-Latn-BA" w:eastAsia="bs-Latn-BA"/>
        </w:rPr>
        <w:t xml:space="preserve"> </w:t>
      </w:r>
    </w:p>
    <w:p w:rsidR="00690898" w:rsidRPr="00F77EEB" w:rsidRDefault="00690898" w:rsidP="000D4C3F">
      <w:pPr>
        <w:autoSpaceDE w:val="0"/>
        <w:autoSpaceDN w:val="0"/>
        <w:adjustRightInd w:val="0"/>
        <w:jc w:val="both"/>
        <w:rPr>
          <w:rFonts w:ascii="Arial" w:hAnsi="Arial" w:cs="Arial"/>
          <w:sz w:val="22"/>
          <w:szCs w:val="22"/>
          <w:lang w:val="bs-Latn-BA" w:eastAsia="bs-Latn-BA"/>
        </w:rPr>
      </w:pPr>
      <w:r w:rsidRPr="00F77EEB">
        <w:rPr>
          <w:rFonts w:ascii="Arial" w:hAnsi="Arial" w:cs="Arial"/>
          <w:sz w:val="22"/>
          <w:szCs w:val="22"/>
          <w:lang w:val="bs-Latn-BA" w:eastAsia="bs-Latn-BA"/>
        </w:rPr>
        <w:t xml:space="preserve">Vlasnik otpada sakuplja otpad selektivno u skladu sa potrebom budućeg tretmana. Otpadni materijal se sortira po vrstama i tretira se na adekvatan način. Redovni otpad odvozi se putem </w:t>
      </w:r>
      <w:r w:rsidRPr="00F77EEB">
        <w:rPr>
          <w:rFonts w:ascii="Arial" w:hAnsi="Arial" w:cs="Arial"/>
          <w:sz w:val="22"/>
          <w:szCs w:val="22"/>
          <w:lang w:val="bs-Latn-BA" w:eastAsia="bs-Latn-BA"/>
        </w:rPr>
        <w:lastRenderedPageBreak/>
        <w:t xml:space="preserve">gradskog komunalnog poduzeća sa kojim postoji zaključen odgovarajući ugovor. Ostali otpad, u skladu sa propisima odlože na odgovarajućim deponijima otpada dok se prijevoz biti organizira od strane vlasnika postrojenja vlastitim prijevoznim sredstvima ili putem ugovorenih vanjskih usluga. </w:t>
      </w:r>
    </w:p>
    <w:p w:rsidR="00690898" w:rsidRPr="00F77EEB" w:rsidRDefault="00690898" w:rsidP="000D4C3F">
      <w:pPr>
        <w:autoSpaceDE w:val="0"/>
        <w:autoSpaceDN w:val="0"/>
        <w:adjustRightInd w:val="0"/>
        <w:jc w:val="both"/>
        <w:rPr>
          <w:rFonts w:ascii="Arial" w:hAnsi="Arial" w:cs="Arial"/>
          <w:sz w:val="22"/>
          <w:szCs w:val="22"/>
          <w:lang w:val="bs-Latn-BA" w:eastAsia="bs-Latn-BA"/>
        </w:rPr>
      </w:pPr>
      <w:r w:rsidRPr="00F77EEB">
        <w:rPr>
          <w:rFonts w:ascii="Arial" w:hAnsi="Arial" w:cs="Arial"/>
          <w:sz w:val="22"/>
          <w:szCs w:val="22"/>
          <w:lang w:val="bs-Latn-BA" w:eastAsia="bs-Latn-BA"/>
        </w:rPr>
        <w:t xml:space="preserve">Papir iz procesa proizvodnje i kancelarijski otpadni papir se daje na dalji tretman firmama koje se bave reciklažom tj. recikliraju ili spaljuju u svrhu dobijanja toplotne energije. </w:t>
      </w:r>
    </w:p>
    <w:p w:rsidR="00690898" w:rsidRPr="00F77EEB" w:rsidRDefault="00690898" w:rsidP="000D4C3F">
      <w:pPr>
        <w:autoSpaceDE w:val="0"/>
        <w:autoSpaceDN w:val="0"/>
        <w:adjustRightInd w:val="0"/>
        <w:jc w:val="both"/>
        <w:rPr>
          <w:rFonts w:ascii="Arial" w:hAnsi="Arial" w:cs="Arial"/>
          <w:sz w:val="22"/>
          <w:szCs w:val="22"/>
          <w:lang w:val="bs-Latn-BA" w:eastAsia="bs-Latn-BA"/>
        </w:rPr>
      </w:pPr>
      <w:r w:rsidRPr="00F77EEB">
        <w:rPr>
          <w:rFonts w:ascii="Arial" w:hAnsi="Arial" w:cs="Arial"/>
          <w:sz w:val="22"/>
          <w:szCs w:val="22"/>
          <w:lang w:val="bs-Latn-BA" w:eastAsia="bs-Latn-BA"/>
        </w:rPr>
        <w:t xml:space="preserve">Osnovne sirovine (TDI i poliol) se dopremaju cisternama. Pomoćne sirovine se dopremaju u polietilenskim (PE) buradima zapremine 25 l ili 1000 l u zavisnosti od proizvođača i u limenim sudovina zapremine od 200 l. </w:t>
      </w:r>
    </w:p>
    <w:p w:rsidR="00690898" w:rsidRPr="00F77EEB" w:rsidRDefault="00690898" w:rsidP="00690898">
      <w:pPr>
        <w:autoSpaceDE w:val="0"/>
        <w:autoSpaceDN w:val="0"/>
        <w:adjustRightInd w:val="0"/>
        <w:rPr>
          <w:rFonts w:ascii="Arial" w:hAnsi="Arial" w:cs="Arial"/>
          <w:sz w:val="22"/>
          <w:szCs w:val="22"/>
          <w:lang w:val="bs-Latn-BA" w:eastAsia="bs-Latn-BA"/>
        </w:rPr>
      </w:pPr>
    </w:p>
    <w:p w:rsidR="00690898" w:rsidRPr="00F77EEB" w:rsidRDefault="00690898" w:rsidP="00690898">
      <w:pPr>
        <w:autoSpaceDE w:val="0"/>
        <w:autoSpaceDN w:val="0"/>
        <w:adjustRightInd w:val="0"/>
        <w:rPr>
          <w:rFonts w:ascii="Arial" w:hAnsi="Arial" w:cs="Arial"/>
          <w:sz w:val="22"/>
          <w:szCs w:val="22"/>
          <w:lang w:val="bs-Latn-BA" w:eastAsia="bs-Latn-BA"/>
        </w:rPr>
      </w:pPr>
      <w:r w:rsidRPr="00F77EEB">
        <w:rPr>
          <w:rFonts w:ascii="Arial" w:hAnsi="Arial" w:cs="Arial"/>
          <w:b/>
          <w:bCs/>
          <w:sz w:val="22"/>
          <w:szCs w:val="22"/>
          <w:lang w:val="bs-Latn-BA" w:eastAsia="bs-Latn-BA"/>
        </w:rPr>
        <w:t xml:space="preserve">f) Tečni otpad </w:t>
      </w:r>
    </w:p>
    <w:p w:rsidR="00690898" w:rsidRPr="00F77EEB" w:rsidRDefault="00690898" w:rsidP="00690898">
      <w:pPr>
        <w:autoSpaceDE w:val="0"/>
        <w:autoSpaceDN w:val="0"/>
        <w:adjustRightInd w:val="0"/>
        <w:rPr>
          <w:rFonts w:ascii="Arial" w:hAnsi="Arial" w:cs="Arial"/>
          <w:sz w:val="22"/>
          <w:szCs w:val="22"/>
          <w:lang w:val="bs-Latn-BA" w:eastAsia="bs-Latn-BA"/>
        </w:rPr>
      </w:pPr>
    </w:p>
    <w:p w:rsidR="00690898" w:rsidRPr="00F77EEB" w:rsidRDefault="00690898" w:rsidP="00CA1AEB">
      <w:pPr>
        <w:autoSpaceDE w:val="0"/>
        <w:autoSpaceDN w:val="0"/>
        <w:adjustRightInd w:val="0"/>
        <w:jc w:val="both"/>
        <w:rPr>
          <w:rFonts w:ascii="Arial" w:hAnsi="Arial" w:cs="Arial"/>
          <w:szCs w:val="22"/>
          <w:lang w:val="bs-Latn-BA" w:eastAsia="bs-Latn-BA"/>
        </w:rPr>
      </w:pPr>
      <w:r w:rsidRPr="00F77EEB">
        <w:rPr>
          <w:rFonts w:ascii="Arial" w:hAnsi="Arial" w:cs="Arial"/>
          <w:sz w:val="22"/>
          <w:szCs w:val="22"/>
          <w:lang w:val="bs-Latn-BA" w:eastAsia="bs-Latn-BA"/>
        </w:rPr>
        <w:t>Najznačajniji otpad koji se pojavljuje u proizvodnom procesu dobijanja mekih poliuretanskih pjena nastaje prilikom izlijevanja mase. Na početku lijevanja svakog odljevka ostaje jedan dio mješavine poliola i izocijanata koji ne stupa u reakciju i ne formira pjenu nego ostaje u tečnom stanju. Ovaj otpad nije moguće izbjeći, kao ni na neki drugi način iskoristiti ovaj dio smjese. Ova smjesa se automatski izljeva u za to predviđene plastične vrećice. Vrećice se nakon punjenja do određene granice skladište se u za to predviđene plastične tankove. Zaprem</w:t>
      </w:r>
      <w:r w:rsidR="003B6C96" w:rsidRPr="00F77EEB">
        <w:rPr>
          <w:rFonts w:ascii="Arial" w:hAnsi="Arial" w:cs="Arial"/>
          <w:sz w:val="22"/>
          <w:szCs w:val="22"/>
          <w:lang w:val="bs-Latn-BA" w:eastAsia="bs-Latn-BA"/>
        </w:rPr>
        <w:t xml:space="preserve">ina </w:t>
      </w:r>
      <w:r w:rsidR="009967F6" w:rsidRPr="00F77EEB">
        <w:rPr>
          <w:rFonts w:ascii="Arial" w:hAnsi="Arial" w:cs="Arial"/>
          <w:sz w:val="22"/>
          <w:szCs w:val="22"/>
          <w:lang w:val="bs-Latn-BA" w:eastAsia="bs-Latn-BA"/>
        </w:rPr>
        <w:t>tanka</w:t>
      </w:r>
      <w:r w:rsidR="003B6C96" w:rsidRPr="00F77EEB">
        <w:rPr>
          <w:rFonts w:ascii="Arial" w:hAnsi="Arial" w:cs="Arial"/>
          <w:sz w:val="22"/>
          <w:szCs w:val="22"/>
          <w:lang w:val="bs-Latn-BA" w:eastAsia="bs-Latn-BA"/>
        </w:rPr>
        <w:t xml:space="preserve"> je </w:t>
      </w:r>
      <w:r w:rsidR="009967F6" w:rsidRPr="00F77EEB">
        <w:rPr>
          <w:rFonts w:ascii="Arial" w:hAnsi="Arial" w:cs="Arial"/>
          <w:sz w:val="22"/>
          <w:szCs w:val="22"/>
          <w:lang w:val="bs-Latn-BA" w:eastAsia="bs-Latn-BA"/>
        </w:rPr>
        <w:t>200</w:t>
      </w:r>
      <w:r w:rsidR="003B6C96" w:rsidRPr="00F77EEB">
        <w:rPr>
          <w:rFonts w:ascii="Arial" w:hAnsi="Arial" w:cs="Arial"/>
          <w:sz w:val="22"/>
          <w:szCs w:val="22"/>
          <w:lang w:val="bs-Latn-BA" w:eastAsia="bs-Latn-BA"/>
        </w:rPr>
        <w:t xml:space="preserve"> litara</w:t>
      </w:r>
      <w:r w:rsidRPr="00F77EEB">
        <w:rPr>
          <w:rFonts w:ascii="Arial" w:hAnsi="Arial" w:cs="Arial"/>
          <w:sz w:val="22"/>
          <w:szCs w:val="22"/>
          <w:lang w:val="bs-Latn-BA" w:eastAsia="bs-Latn-BA"/>
        </w:rPr>
        <w:t xml:space="preserve">. Svako ulijevanje je mase </w:t>
      </w:r>
      <w:r w:rsidR="009967F6" w:rsidRPr="00F77EEB">
        <w:rPr>
          <w:rFonts w:ascii="Arial" w:hAnsi="Arial" w:cs="Arial"/>
          <w:sz w:val="22"/>
          <w:szCs w:val="22"/>
          <w:lang w:val="bs-Latn-BA" w:eastAsia="bs-Latn-BA"/>
        </w:rPr>
        <w:t>oko 1</w:t>
      </w:r>
      <w:r w:rsidRPr="00F77EEB">
        <w:rPr>
          <w:rFonts w:ascii="Arial" w:hAnsi="Arial" w:cs="Arial"/>
          <w:sz w:val="22"/>
          <w:szCs w:val="22"/>
          <w:lang w:val="bs-Latn-BA" w:eastAsia="bs-Latn-BA"/>
        </w:rPr>
        <w:t xml:space="preserve"> kg.</w:t>
      </w:r>
      <w:r w:rsidR="00CA1AEB" w:rsidRPr="00F77EEB">
        <w:rPr>
          <w:rFonts w:ascii="Arial" w:hAnsi="Arial" w:cs="Arial"/>
          <w:sz w:val="22"/>
          <w:szCs w:val="22"/>
          <w:lang w:val="bs-Latn-BA" w:eastAsia="bs-Latn-BA"/>
        </w:rPr>
        <w:t xml:space="preserve"> </w:t>
      </w:r>
      <w:r w:rsidRPr="00F77EEB">
        <w:rPr>
          <w:rFonts w:ascii="Arial" w:hAnsi="Arial" w:cs="Arial"/>
          <w:sz w:val="22"/>
          <w:szCs w:val="22"/>
          <w:lang w:val="bs-Latn-BA" w:eastAsia="bs-Latn-BA"/>
        </w:rPr>
        <w:t xml:space="preserve">Plama- pur BH je sklopila ugovor sa firmom </w:t>
      </w:r>
      <w:r w:rsidR="009967F6" w:rsidRPr="00F77EEB">
        <w:rPr>
          <w:rFonts w:ascii="Arial" w:hAnsi="Arial" w:cs="Arial"/>
          <w:sz w:val="22"/>
          <w:szCs w:val="22"/>
          <w:lang w:val="bs-Latn-BA" w:eastAsia="bs-Latn-BA"/>
        </w:rPr>
        <w:t>Delta petrol</w:t>
      </w:r>
      <w:r w:rsidRPr="00F77EEB">
        <w:rPr>
          <w:rFonts w:ascii="Arial" w:hAnsi="Arial" w:cs="Arial"/>
          <w:sz w:val="22"/>
          <w:szCs w:val="22"/>
          <w:lang w:val="bs-Latn-BA" w:eastAsia="bs-Latn-BA"/>
        </w:rPr>
        <w:t xml:space="preserve"> doo koja se brine o preuzimanju, skladištenju i </w:t>
      </w:r>
      <w:r w:rsidR="009967F6" w:rsidRPr="00F77EEB">
        <w:rPr>
          <w:rFonts w:ascii="Arial" w:hAnsi="Arial" w:cs="Arial"/>
          <w:sz w:val="22"/>
          <w:szCs w:val="22"/>
          <w:lang w:val="bs-Latn-BA" w:eastAsia="bs-Latn-BA"/>
        </w:rPr>
        <w:t xml:space="preserve">finalnom </w:t>
      </w:r>
      <w:r w:rsidRPr="00F77EEB">
        <w:rPr>
          <w:rFonts w:ascii="Arial" w:hAnsi="Arial" w:cs="Arial"/>
          <w:sz w:val="22"/>
          <w:szCs w:val="22"/>
          <w:lang w:val="bs-Latn-BA" w:eastAsia="bs-Latn-BA"/>
        </w:rPr>
        <w:t>zbrinjavanu opasnog otpada.</w:t>
      </w:r>
      <w:r w:rsidR="009967F6" w:rsidRPr="00F77EEB">
        <w:rPr>
          <w:rFonts w:ascii="Arial" w:hAnsi="Arial" w:cs="Arial"/>
          <w:sz w:val="22"/>
          <w:szCs w:val="22"/>
          <w:lang w:val="bs-Latn-BA" w:eastAsia="bs-Latn-BA"/>
        </w:rPr>
        <w:t xml:space="preserve"> </w:t>
      </w:r>
      <w:r w:rsidRPr="00F77EEB">
        <w:rPr>
          <w:rFonts w:ascii="Arial" w:hAnsi="Arial" w:cs="Arial"/>
          <w:sz w:val="22"/>
          <w:szCs w:val="22"/>
          <w:lang w:val="bs-Latn-BA" w:eastAsia="bs-Latn-BA"/>
        </w:rPr>
        <w:t xml:space="preserve"> </w:t>
      </w:r>
      <w:r w:rsidR="009967F6" w:rsidRPr="00F77EEB">
        <w:rPr>
          <w:rFonts w:ascii="Arial" w:hAnsi="Arial" w:cs="Arial"/>
          <w:sz w:val="22"/>
          <w:szCs w:val="22"/>
          <w:lang w:val="bs-Latn-BA" w:eastAsia="bs-Latn-BA"/>
        </w:rPr>
        <w:t>O nastanku otpada se vodi evidencija.</w:t>
      </w:r>
    </w:p>
    <w:p w:rsidR="003F3FBD" w:rsidRPr="00F77EEB" w:rsidRDefault="003F3FBD" w:rsidP="00690898">
      <w:pPr>
        <w:pStyle w:val="BodyText2"/>
        <w:rPr>
          <w:rFonts w:cs="Arial"/>
          <w:szCs w:val="22"/>
          <w:lang w:val="bs-Latn-BA" w:eastAsia="bs-Latn-BA"/>
        </w:rPr>
      </w:pPr>
    </w:p>
    <w:p w:rsidR="00690898" w:rsidRPr="00F77EEB" w:rsidRDefault="00690898" w:rsidP="00690898">
      <w:pPr>
        <w:pStyle w:val="Default"/>
        <w:rPr>
          <w:color w:val="auto"/>
          <w:sz w:val="22"/>
          <w:szCs w:val="22"/>
        </w:rPr>
      </w:pPr>
      <w:r w:rsidRPr="00F77EEB">
        <w:rPr>
          <w:b/>
          <w:bCs/>
          <w:color w:val="auto"/>
          <w:sz w:val="22"/>
          <w:szCs w:val="22"/>
        </w:rPr>
        <w:t xml:space="preserve">4.2. Akcidenti </w:t>
      </w:r>
    </w:p>
    <w:p w:rsidR="00690898" w:rsidRPr="00F77EEB" w:rsidRDefault="00690898" w:rsidP="00690898">
      <w:pPr>
        <w:pStyle w:val="Default"/>
        <w:rPr>
          <w:color w:val="auto"/>
          <w:sz w:val="22"/>
          <w:szCs w:val="22"/>
        </w:rPr>
      </w:pPr>
    </w:p>
    <w:p w:rsidR="00690898" w:rsidRPr="00F77EEB" w:rsidRDefault="00690898" w:rsidP="00690898">
      <w:pPr>
        <w:pStyle w:val="Default"/>
        <w:jc w:val="both"/>
        <w:rPr>
          <w:color w:val="auto"/>
          <w:sz w:val="22"/>
          <w:szCs w:val="22"/>
        </w:rPr>
      </w:pPr>
      <w:r w:rsidRPr="00F77EEB">
        <w:rPr>
          <w:color w:val="auto"/>
          <w:sz w:val="22"/>
          <w:szCs w:val="22"/>
        </w:rPr>
        <w:t xml:space="preserve">Na osnovu člana 77 </w:t>
      </w:r>
      <w:r w:rsidRPr="00F77EEB">
        <w:rPr>
          <w:i/>
          <w:iCs/>
          <w:color w:val="auto"/>
          <w:sz w:val="22"/>
          <w:szCs w:val="22"/>
        </w:rPr>
        <w:t xml:space="preserve">Zakona o zaštiti okoliša </w:t>
      </w:r>
      <w:r w:rsidR="00CA1AEB" w:rsidRPr="00F77EEB">
        <w:rPr>
          <w:color w:val="auto"/>
          <w:sz w:val="22"/>
          <w:szCs w:val="22"/>
        </w:rPr>
        <w:t>(„</w:t>
      </w:r>
      <w:r w:rsidRPr="00F77EEB">
        <w:rPr>
          <w:color w:val="auto"/>
          <w:sz w:val="22"/>
          <w:szCs w:val="22"/>
        </w:rPr>
        <w:t xml:space="preserve">Službene novine Federacije BiH”, broj 33/03, 38/09), i člana 9, 10 i 11 </w:t>
      </w:r>
      <w:r w:rsidRPr="00F77EEB">
        <w:rPr>
          <w:i/>
          <w:iCs/>
          <w:color w:val="auto"/>
          <w:sz w:val="22"/>
          <w:szCs w:val="22"/>
        </w:rPr>
        <w:t xml:space="preserve">Pravilnika o pogonima i postrojenjima za koje je obavezna procjena uticaja na okoliš i pogonima i postrojenjima koji mogu biti izgrađeni i pušteni u rad samo ako imaju okolinsku dozvolu </w:t>
      </w:r>
      <w:r w:rsidR="00CA1AEB" w:rsidRPr="00F77EEB">
        <w:rPr>
          <w:color w:val="auto"/>
          <w:sz w:val="22"/>
          <w:szCs w:val="22"/>
        </w:rPr>
        <w:t>(„</w:t>
      </w:r>
      <w:r w:rsidRPr="00F77EEB">
        <w:rPr>
          <w:color w:val="auto"/>
          <w:sz w:val="22"/>
          <w:szCs w:val="22"/>
        </w:rPr>
        <w:t>Služ</w:t>
      </w:r>
      <w:r w:rsidR="00250A1F" w:rsidRPr="00F77EEB">
        <w:rPr>
          <w:color w:val="auto"/>
          <w:sz w:val="22"/>
          <w:szCs w:val="22"/>
        </w:rPr>
        <w:t>bene novine Federacije BiH”, broj:</w:t>
      </w:r>
      <w:r w:rsidRPr="00F77EEB">
        <w:rPr>
          <w:color w:val="auto"/>
          <w:sz w:val="22"/>
          <w:szCs w:val="22"/>
        </w:rPr>
        <w:t xml:space="preserve"> 19/04) firma „Plama-pur BH“ je dostavila nadležnom ministarstvu (Federalnom ministarstvo  okoliša i turizma) ažuriran Plan sprječavanja nesreća velikih razmjera .</w:t>
      </w:r>
    </w:p>
    <w:p w:rsidR="00690898" w:rsidRPr="00F77EEB" w:rsidRDefault="00690898" w:rsidP="00690898">
      <w:pPr>
        <w:pStyle w:val="Default"/>
        <w:jc w:val="both"/>
        <w:rPr>
          <w:color w:val="auto"/>
          <w:sz w:val="22"/>
          <w:szCs w:val="22"/>
        </w:rPr>
      </w:pPr>
      <w:r w:rsidRPr="00F77EEB">
        <w:rPr>
          <w:color w:val="auto"/>
          <w:sz w:val="22"/>
          <w:szCs w:val="22"/>
        </w:rPr>
        <w:t xml:space="preserve">Plan sprječavanja nesreća velikih razmjera u dijelu identifikacije i procjene uzeo je u obzir udaljenost sljedećih objekata: Osnovna škola „Omer Mušić”; Rudnik Haljinići; Rudnik Stara jama; Separaciju uglja; Tvornice cementa Kakanj; Termoelektrana Kakanj; benzinske pumpe; vatrogasne stanice; ambulante; Centre hitne medinske pomoći i sl. </w:t>
      </w:r>
    </w:p>
    <w:p w:rsidR="00690898" w:rsidRPr="00F77EEB" w:rsidRDefault="00690898" w:rsidP="00690898">
      <w:pPr>
        <w:pStyle w:val="BodyText2"/>
        <w:rPr>
          <w:rFonts w:cs="Arial"/>
          <w:szCs w:val="22"/>
        </w:rPr>
      </w:pPr>
    </w:p>
    <w:p w:rsidR="00690898" w:rsidRPr="00F77EEB" w:rsidRDefault="00690898" w:rsidP="00690898">
      <w:pPr>
        <w:pStyle w:val="BodyText2"/>
        <w:rPr>
          <w:rFonts w:cs="Arial"/>
          <w:szCs w:val="22"/>
        </w:rPr>
      </w:pPr>
      <w:r w:rsidRPr="00F77EEB">
        <w:rPr>
          <w:rFonts w:cs="Arial"/>
          <w:szCs w:val="22"/>
        </w:rPr>
        <w:t>„Plama-pur BH</w:t>
      </w:r>
      <w:proofErr w:type="gramStart"/>
      <w:r w:rsidRPr="00F77EEB">
        <w:rPr>
          <w:rFonts w:cs="Arial"/>
          <w:szCs w:val="22"/>
        </w:rPr>
        <w:t>“ je</w:t>
      </w:r>
      <w:proofErr w:type="gramEnd"/>
      <w:r w:rsidRPr="00F77EEB">
        <w:rPr>
          <w:rFonts w:cs="Arial"/>
          <w:szCs w:val="22"/>
        </w:rPr>
        <w:t xml:space="preserve"> ažurirala Izvještaj o stanju sigurnosti, Informaciju o sigurnosnim mjerama i Unutrašnji plan intervencija a u skladu sa čl. 78, 80 i 83 </w:t>
      </w:r>
      <w:r w:rsidRPr="00F77EEB">
        <w:rPr>
          <w:rFonts w:cs="Arial"/>
          <w:i/>
          <w:iCs/>
          <w:szCs w:val="22"/>
        </w:rPr>
        <w:t xml:space="preserve">Zakona o zaštiti okoliša </w:t>
      </w:r>
      <w:r w:rsidRPr="00F77EEB">
        <w:rPr>
          <w:rFonts w:cs="Arial"/>
          <w:szCs w:val="22"/>
        </w:rPr>
        <w:t xml:space="preserve">i </w:t>
      </w:r>
      <w:r w:rsidRPr="00F77EEB">
        <w:rPr>
          <w:rFonts w:cs="Arial"/>
          <w:szCs w:val="22"/>
          <w:lang w:val="pl-PL"/>
        </w:rPr>
        <w:t>Pravilnika o sadržaju izvještaja o stanju sigurnosti, sadržaju informacija o sigurnosnim mjerama i sadržaju unutarnjih i spoljnih planova intervencije (</w:t>
      </w:r>
      <w:r w:rsidR="00CA1AEB" w:rsidRPr="00F77EEB">
        <w:rPr>
          <w:rFonts w:cs="Arial"/>
          <w:szCs w:val="22"/>
          <w:lang w:val="pl-PL"/>
        </w:rPr>
        <w:t>„</w:t>
      </w:r>
      <w:r w:rsidRPr="00F77EEB">
        <w:rPr>
          <w:rFonts w:cs="Arial"/>
          <w:szCs w:val="22"/>
          <w:lang w:val="pl-PL"/>
        </w:rPr>
        <w:t>Službene novine Federacije BiH</w:t>
      </w:r>
      <w:r w:rsidR="00CA1AEB" w:rsidRPr="00F77EEB">
        <w:rPr>
          <w:rFonts w:cs="Arial"/>
          <w:szCs w:val="22"/>
          <w:lang w:val="pl-PL"/>
        </w:rPr>
        <w:t>”</w:t>
      </w:r>
      <w:r w:rsidRPr="00F77EEB">
        <w:rPr>
          <w:rFonts w:cs="Arial"/>
          <w:szCs w:val="22"/>
          <w:lang w:val="pl-PL"/>
        </w:rPr>
        <w:t xml:space="preserve"> br. 68/05) i dostavilla F</w:t>
      </w:r>
      <w:r w:rsidR="00EE45DA" w:rsidRPr="00F77EEB">
        <w:rPr>
          <w:rFonts w:cs="Arial"/>
          <w:szCs w:val="22"/>
          <w:lang w:val="pl-PL"/>
        </w:rPr>
        <w:t>e</w:t>
      </w:r>
      <w:r w:rsidRPr="00F77EEB">
        <w:rPr>
          <w:rFonts w:cs="Arial"/>
          <w:szCs w:val="22"/>
        </w:rPr>
        <w:t xml:space="preserve">deralnom </w:t>
      </w:r>
      <w:proofErr w:type="gramStart"/>
      <w:r w:rsidRPr="00F77EEB">
        <w:rPr>
          <w:rFonts w:cs="Arial"/>
          <w:szCs w:val="22"/>
        </w:rPr>
        <w:t>ministarstvo  okoliša</w:t>
      </w:r>
      <w:proofErr w:type="gramEnd"/>
      <w:r w:rsidRPr="00F77EEB">
        <w:rPr>
          <w:rFonts w:cs="Arial"/>
          <w:szCs w:val="22"/>
        </w:rPr>
        <w:t xml:space="preserve"> i turizma i Upravi civilne zaštite u Kaknju. Svi navedeni dokumenti su ažurirani 20</w:t>
      </w:r>
      <w:r w:rsidR="003B6C96" w:rsidRPr="00F77EEB">
        <w:rPr>
          <w:rFonts w:cs="Arial"/>
          <w:szCs w:val="22"/>
        </w:rPr>
        <w:t>20</w:t>
      </w:r>
      <w:r w:rsidRPr="00F77EEB">
        <w:rPr>
          <w:rFonts w:cs="Arial"/>
          <w:szCs w:val="22"/>
        </w:rPr>
        <w:t xml:space="preserve">. </w:t>
      </w:r>
      <w:proofErr w:type="gramStart"/>
      <w:r w:rsidRPr="00F77EEB">
        <w:rPr>
          <w:rFonts w:cs="Arial"/>
          <w:szCs w:val="22"/>
        </w:rPr>
        <w:t>godine</w:t>
      </w:r>
      <w:proofErr w:type="gramEnd"/>
      <w:r w:rsidRPr="00F77EEB">
        <w:rPr>
          <w:rFonts w:cs="Arial"/>
          <w:szCs w:val="22"/>
        </w:rPr>
        <w:t>.</w:t>
      </w:r>
    </w:p>
    <w:p w:rsidR="00690898" w:rsidRPr="00F77EEB" w:rsidRDefault="00690898" w:rsidP="00690898">
      <w:pPr>
        <w:pStyle w:val="BodyText2"/>
        <w:rPr>
          <w:rFonts w:cs="Arial"/>
          <w:szCs w:val="22"/>
          <w:lang w:val="hr-HR"/>
        </w:rPr>
      </w:pPr>
    </w:p>
    <w:p w:rsidR="003F3FBD" w:rsidRPr="00F77EEB" w:rsidRDefault="003F3FBD" w:rsidP="00690898">
      <w:pPr>
        <w:pStyle w:val="BodyText2"/>
        <w:rPr>
          <w:rFonts w:cs="Arial"/>
          <w:szCs w:val="22"/>
          <w:lang w:val="hr-HR"/>
        </w:rPr>
      </w:pPr>
    </w:p>
    <w:p w:rsidR="00360122" w:rsidRPr="00F77EEB" w:rsidRDefault="00250A1F" w:rsidP="00250A1F">
      <w:pPr>
        <w:pStyle w:val="Heading1"/>
        <w:rPr>
          <w:rFonts w:cs="Arial"/>
          <w:sz w:val="22"/>
          <w:szCs w:val="22"/>
        </w:rPr>
      </w:pPr>
      <w:bookmarkStart w:id="6" w:name="_Toc320171212"/>
      <w:bookmarkStart w:id="7" w:name="_Toc320171500"/>
      <w:r w:rsidRPr="00F77EEB">
        <w:rPr>
          <w:rFonts w:cs="Arial"/>
          <w:sz w:val="22"/>
          <w:szCs w:val="22"/>
        </w:rPr>
        <w:t xml:space="preserve">5. </w:t>
      </w:r>
      <w:r w:rsidR="00360122" w:rsidRPr="00F77EEB">
        <w:rPr>
          <w:rFonts w:cs="Arial"/>
          <w:sz w:val="22"/>
          <w:szCs w:val="22"/>
        </w:rPr>
        <w:t>Granične vrijednosti emisija</w:t>
      </w:r>
    </w:p>
    <w:p w:rsidR="00360122" w:rsidRPr="00F77EEB" w:rsidRDefault="00360122" w:rsidP="00360122">
      <w:pPr>
        <w:pStyle w:val="Default"/>
        <w:ind w:left="720"/>
        <w:jc w:val="both"/>
        <w:rPr>
          <w:color w:val="auto"/>
          <w:sz w:val="22"/>
          <w:szCs w:val="22"/>
        </w:rPr>
      </w:pPr>
    </w:p>
    <w:p w:rsidR="00263E90" w:rsidRPr="00F77EEB" w:rsidRDefault="00263E90" w:rsidP="00263E90">
      <w:pPr>
        <w:tabs>
          <w:tab w:val="left" w:pos="0"/>
          <w:tab w:val="left" w:pos="540"/>
        </w:tabs>
        <w:jc w:val="both"/>
        <w:rPr>
          <w:rFonts w:ascii="Arial" w:hAnsi="Arial" w:cs="Arial"/>
          <w:b/>
          <w:bCs/>
          <w:sz w:val="22"/>
          <w:szCs w:val="22"/>
          <w:lang w:val="sl-SI"/>
        </w:rPr>
      </w:pPr>
      <w:r w:rsidRPr="00F77EEB">
        <w:rPr>
          <w:rFonts w:ascii="Arial" w:hAnsi="Arial" w:cs="Arial"/>
          <w:b/>
          <w:bCs/>
          <w:sz w:val="22"/>
          <w:szCs w:val="22"/>
          <w:lang w:val="sl-SI"/>
        </w:rPr>
        <w:t xml:space="preserve">5.1. Granične vrijednosti za zrak </w:t>
      </w:r>
    </w:p>
    <w:p w:rsidR="00263E90" w:rsidRPr="00F77EEB" w:rsidRDefault="00263E90" w:rsidP="00360122">
      <w:pPr>
        <w:pStyle w:val="Default"/>
        <w:ind w:left="720"/>
        <w:jc w:val="both"/>
        <w:rPr>
          <w:color w:val="auto"/>
          <w:sz w:val="22"/>
          <w:szCs w:val="22"/>
        </w:rPr>
      </w:pPr>
    </w:p>
    <w:p w:rsidR="00360122" w:rsidRPr="00F77EEB" w:rsidRDefault="00250A1F" w:rsidP="00250A1F">
      <w:pPr>
        <w:pStyle w:val="Default"/>
        <w:jc w:val="both"/>
        <w:rPr>
          <w:color w:val="auto"/>
          <w:sz w:val="22"/>
          <w:szCs w:val="22"/>
        </w:rPr>
      </w:pPr>
      <w:r w:rsidRPr="00F77EEB">
        <w:rPr>
          <w:color w:val="auto"/>
          <w:sz w:val="22"/>
          <w:szCs w:val="22"/>
        </w:rPr>
        <w:t xml:space="preserve">     </w:t>
      </w:r>
      <w:r w:rsidR="00360122" w:rsidRPr="00F77EEB">
        <w:rPr>
          <w:color w:val="auto"/>
          <w:sz w:val="22"/>
          <w:szCs w:val="22"/>
        </w:rPr>
        <w:t xml:space="preserve">Granične vrijednosti emisija za organske polutante: </w:t>
      </w:r>
    </w:p>
    <w:p w:rsidR="00360122" w:rsidRPr="00F77EEB" w:rsidRDefault="00360122" w:rsidP="00360122">
      <w:pPr>
        <w:pStyle w:val="Default"/>
        <w:ind w:left="1146"/>
        <w:jc w:val="both"/>
        <w:rPr>
          <w:color w:val="auto"/>
          <w:sz w:val="22"/>
          <w:szCs w:val="22"/>
        </w:rPr>
      </w:pPr>
      <w:r w:rsidRPr="00F77EEB">
        <w:rPr>
          <w:color w:val="auto"/>
          <w:sz w:val="22"/>
          <w:szCs w:val="22"/>
        </w:rPr>
        <w:t>I klasa štetnosti pri masenom protoku od 0,1 kg/h ili većem iznosi 20 mg/m</w:t>
      </w:r>
      <w:r w:rsidRPr="00F77EEB">
        <w:rPr>
          <w:color w:val="auto"/>
          <w:sz w:val="22"/>
          <w:szCs w:val="22"/>
          <w:vertAlign w:val="superscript"/>
        </w:rPr>
        <w:t xml:space="preserve">3 </w:t>
      </w:r>
    </w:p>
    <w:p w:rsidR="00360122" w:rsidRPr="00F77EEB" w:rsidRDefault="00360122" w:rsidP="00360122">
      <w:pPr>
        <w:pStyle w:val="Default"/>
        <w:ind w:left="1146"/>
        <w:jc w:val="both"/>
        <w:rPr>
          <w:color w:val="auto"/>
          <w:sz w:val="22"/>
          <w:szCs w:val="22"/>
        </w:rPr>
      </w:pPr>
      <w:r w:rsidRPr="00F77EEB">
        <w:rPr>
          <w:color w:val="auto"/>
          <w:sz w:val="22"/>
          <w:szCs w:val="22"/>
        </w:rPr>
        <w:t>II klasa štetnosti pri masenom protoku od 2 kg/h i više iznosi 100 mg/m</w:t>
      </w:r>
      <w:r w:rsidRPr="00F77EEB">
        <w:rPr>
          <w:color w:val="auto"/>
          <w:sz w:val="22"/>
          <w:szCs w:val="22"/>
          <w:vertAlign w:val="superscript"/>
        </w:rPr>
        <w:t>3</w:t>
      </w:r>
      <w:r w:rsidRPr="00F77EEB">
        <w:rPr>
          <w:color w:val="auto"/>
          <w:sz w:val="22"/>
          <w:szCs w:val="22"/>
        </w:rPr>
        <w:t xml:space="preserve"> </w:t>
      </w:r>
    </w:p>
    <w:p w:rsidR="00263E90" w:rsidRPr="00F77EEB" w:rsidRDefault="00263E90" w:rsidP="00263E90">
      <w:pPr>
        <w:tabs>
          <w:tab w:val="left" w:pos="0"/>
          <w:tab w:val="left" w:pos="540"/>
        </w:tabs>
        <w:jc w:val="both"/>
        <w:rPr>
          <w:rFonts w:ascii="Arial" w:hAnsi="Arial" w:cs="Arial"/>
          <w:b/>
          <w:bCs/>
          <w:sz w:val="22"/>
          <w:szCs w:val="22"/>
          <w:lang w:val="sl-SI"/>
        </w:rPr>
      </w:pPr>
    </w:p>
    <w:p w:rsidR="00263E90" w:rsidRPr="00F77EEB" w:rsidRDefault="00263E90" w:rsidP="00263E90">
      <w:pPr>
        <w:tabs>
          <w:tab w:val="left" w:pos="0"/>
          <w:tab w:val="left" w:pos="540"/>
        </w:tabs>
        <w:jc w:val="both"/>
        <w:rPr>
          <w:rFonts w:ascii="Arial" w:hAnsi="Arial" w:cs="Arial"/>
          <w:b/>
          <w:bCs/>
          <w:sz w:val="22"/>
          <w:szCs w:val="22"/>
          <w:lang w:val="sl-SI"/>
        </w:rPr>
      </w:pPr>
      <w:r w:rsidRPr="00F77EEB">
        <w:rPr>
          <w:rFonts w:ascii="Arial" w:hAnsi="Arial" w:cs="Arial"/>
          <w:b/>
          <w:bCs/>
          <w:sz w:val="22"/>
          <w:szCs w:val="22"/>
          <w:lang w:val="sl-SI"/>
        </w:rPr>
        <w:t xml:space="preserve">5.1. Granične vrijednosti za buku </w:t>
      </w:r>
    </w:p>
    <w:p w:rsidR="00360122" w:rsidRPr="00F77EEB" w:rsidRDefault="00360122" w:rsidP="00360122">
      <w:pPr>
        <w:pStyle w:val="Heading1"/>
        <w:ind w:left="720"/>
        <w:rPr>
          <w:rFonts w:cs="Arial"/>
          <w:sz w:val="22"/>
          <w:szCs w:val="22"/>
        </w:rPr>
      </w:pPr>
    </w:p>
    <w:p w:rsidR="00360122" w:rsidRPr="00F77EEB" w:rsidRDefault="00360122" w:rsidP="00360122">
      <w:pPr>
        <w:jc w:val="both"/>
        <w:rPr>
          <w:rFonts w:ascii="Arial" w:hAnsi="Arial" w:cs="Arial"/>
          <w:sz w:val="22"/>
          <w:szCs w:val="22"/>
        </w:rPr>
      </w:pPr>
      <w:r w:rsidRPr="00F77EEB">
        <w:rPr>
          <w:rFonts w:ascii="Arial" w:hAnsi="Arial" w:cs="Arial"/>
          <w:sz w:val="22"/>
          <w:szCs w:val="22"/>
        </w:rPr>
        <w:t xml:space="preserve">Na osnovu </w:t>
      </w:r>
      <w:r w:rsidRPr="00F77EEB">
        <w:rPr>
          <w:rFonts w:ascii="Arial" w:hAnsi="Arial" w:cs="Arial"/>
          <w:bCs/>
          <w:sz w:val="22"/>
          <w:szCs w:val="22"/>
          <w:shd w:val="clear" w:color="auto" w:fill="FFFFFF"/>
        </w:rPr>
        <w:t xml:space="preserve">Zakonu o zaštiti </w:t>
      </w:r>
      <w:proofErr w:type="gramStart"/>
      <w:r w:rsidRPr="00F77EEB">
        <w:rPr>
          <w:rFonts w:ascii="Arial" w:hAnsi="Arial" w:cs="Arial"/>
          <w:bCs/>
          <w:sz w:val="22"/>
          <w:szCs w:val="22"/>
          <w:shd w:val="clear" w:color="auto" w:fill="FFFFFF"/>
        </w:rPr>
        <w:t>od</w:t>
      </w:r>
      <w:proofErr w:type="gramEnd"/>
      <w:r w:rsidRPr="00F77EEB">
        <w:rPr>
          <w:rFonts w:ascii="Arial" w:hAnsi="Arial" w:cs="Arial"/>
          <w:bCs/>
          <w:sz w:val="22"/>
          <w:szCs w:val="22"/>
          <w:shd w:val="clear" w:color="auto" w:fill="FFFFFF"/>
        </w:rPr>
        <w:t xml:space="preserve"> buke</w:t>
      </w:r>
      <w:r w:rsidRPr="00F77EEB">
        <w:rPr>
          <w:rFonts w:ascii="Arial" w:hAnsi="Arial" w:cs="Arial"/>
          <w:sz w:val="22"/>
          <w:szCs w:val="22"/>
          <w:shd w:val="clear" w:color="auto" w:fill="FFFFFF"/>
        </w:rPr>
        <w:t> (“Službene novine </w:t>
      </w:r>
      <w:r w:rsidRPr="00F77EEB">
        <w:rPr>
          <w:rFonts w:ascii="Arial" w:hAnsi="Arial" w:cs="Arial"/>
          <w:bCs/>
          <w:sz w:val="22"/>
          <w:szCs w:val="22"/>
          <w:shd w:val="clear" w:color="auto" w:fill="FFFFFF"/>
        </w:rPr>
        <w:t>Federacije BiH</w:t>
      </w:r>
      <w:r w:rsidR="00CA1AEB" w:rsidRPr="00F77EEB">
        <w:rPr>
          <w:rFonts w:ascii="Arial" w:hAnsi="Arial" w:cs="Arial"/>
          <w:bCs/>
          <w:sz w:val="22"/>
          <w:szCs w:val="22"/>
          <w:shd w:val="clear" w:color="auto" w:fill="FFFFFF"/>
        </w:rPr>
        <w:t>”</w:t>
      </w:r>
      <w:r w:rsidRPr="00F77EEB">
        <w:rPr>
          <w:rFonts w:ascii="Arial" w:hAnsi="Arial" w:cs="Arial"/>
          <w:bCs/>
          <w:sz w:val="22"/>
          <w:szCs w:val="22"/>
          <w:shd w:val="clear" w:color="auto" w:fill="FFFFFF"/>
        </w:rPr>
        <w:t xml:space="preserve"> broj:  120/12</w:t>
      </w:r>
      <w:r w:rsidRPr="00F77EEB">
        <w:rPr>
          <w:rFonts w:ascii="Arial" w:hAnsi="Arial" w:cs="Arial"/>
          <w:sz w:val="22"/>
          <w:szCs w:val="22"/>
          <w:shd w:val="clear" w:color="auto" w:fill="FFFFFF"/>
        </w:rPr>
        <w:t>)</w:t>
      </w:r>
      <w:r w:rsidRPr="00F77EEB">
        <w:rPr>
          <w:rFonts w:ascii="Arial" w:hAnsi="Arial" w:cs="Arial"/>
          <w:sz w:val="22"/>
          <w:szCs w:val="22"/>
        </w:rPr>
        <w:t>.</w:t>
      </w:r>
    </w:p>
    <w:p w:rsidR="00360122" w:rsidRPr="00F77EEB" w:rsidRDefault="00360122" w:rsidP="00360122">
      <w:pPr>
        <w:rPr>
          <w:rFonts w:ascii="Arial" w:hAnsi="Arial" w:cs="Arial"/>
          <w:bCs/>
          <w:sz w:val="22"/>
          <w:szCs w:val="22"/>
        </w:rPr>
      </w:pPr>
    </w:p>
    <w:p w:rsidR="00360122" w:rsidRPr="00F77EEB" w:rsidRDefault="00360122" w:rsidP="00360122">
      <w:pPr>
        <w:rPr>
          <w:rFonts w:ascii="Arial" w:hAnsi="Arial" w:cs="Arial"/>
          <w:bCs/>
          <w:sz w:val="22"/>
          <w:szCs w:val="22"/>
        </w:rPr>
      </w:pPr>
      <w:r w:rsidRPr="00F77EEB">
        <w:rPr>
          <w:rFonts w:ascii="Arial" w:hAnsi="Arial" w:cs="Arial"/>
          <w:bCs/>
          <w:sz w:val="22"/>
          <w:szCs w:val="22"/>
        </w:rPr>
        <w:t>Tabela 1. Dozvoljeni nivoi vanjske buke u različitim zonama (područjima)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1158"/>
        <w:gridCol w:w="5094"/>
        <w:gridCol w:w="948"/>
        <w:gridCol w:w="1062"/>
        <w:gridCol w:w="1083"/>
      </w:tblGrid>
      <w:tr w:rsidR="00F77EEB" w:rsidRPr="00F77EEB" w:rsidTr="00250A1F">
        <w:trPr>
          <w:trHeight w:val="300"/>
          <w:jc w:val="center"/>
        </w:trPr>
        <w:tc>
          <w:tcPr>
            <w:tcW w:w="605" w:type="pct"/>
            <w:vMerge w:val="restart"/>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lastRenderedPageBreak/>
              <w:t>Područje (zona)</w:t>
            </w:r>
          </w:p>
        </w:tc>
        <w:tc>
          <w:tcPr>
            <w:tcW w:w="2729" w:type="pct"/>
            <w:vMerge w:val="restart"/>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Namjena područja</w:t>
            </w:r>
          </w:p>
        </w:tc>
        <w:tc>
          <w:tcPr>
            <w:tcW w:w="1666" w:type="pct"/>
            <w:gridSpan w:val="3"/>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Najviši dozvoljeni nivo vanjske buke (dBA)</w:t>
            </w:r>
          </w:p>
        </w:tc>
      </w:tr>
      <w:tr w:rsidR="00F77EEB" w:rsidRPr="00F77EEB" w:rsidTr="00250A1F">
        <w:trPr>
          <w:trHeight w:val="457"/>
          <w:jc w:val="center"/>
        </w:trPr>
        <w:tc>
          <w:tcPr>
            <w:tcW w:w="605" w:type="pct"/>
            <w:vMerge/>
            <w:shd w:val="clear" w:color="auto" w:fill="FFFFCC"/>
            <w:vAlign w:val="center"/>
          </w:tcPr>
          <w:p w:rsidR="00360122" w:rsidRPr="00F77EEB" w:rsidRDefault="00360122" w:rsidP="00383E61">
            <w:pPr>
              <w:jc w:val="center"/>
              <w:rPr>
                <w:rFonts w:ascii="Arial" w:hAnsi="Arial" w:cs="Arial"/>
                <w:b/>
                <w:sz w:val="22"/>
                <w:szCs w:val="22"/>
              </w:rPr>
            </w:pPr>
          </w:p>
        </w:tc>
        <w:tc>
          <w:tcPr>
            <w:tcW w:w="2729" w:type="pct"/>
            <w:vMerge/>
            <w:shd w:val="clear" w:color="auto" w:fill="FFFFCC"/>
            <w:vAlign w:val="center"/>
          </w:tcPr>
          <w:p w:rsidR="00360122" w:rsidRPr="00F77EEB" w:rsidRDefault="00360122" w:rsidP="00383E61">
            <w:pPr>
              <w:jc w:val="center"/>
              <w:rPr>
                <w:rFonts w:ascii="Arial" w:hAnsi="Arial" w:cs="Arial"/>
                <w:b/>
                <w:sz w:val="22"/>
                <w:szCs w:val="22"/>
              </w:rPr>
            </w:pPr>
          </w:p>
        </w:tc>
        <w:tc>
          <w:tcPr>
            <w:tcW w:w="1082" w:type="pct"/>
            <w:gridSpan w:val="2"/>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15 min Leq</w:t>
            </w:r>
          </w:p>
        </w:tc>
        <w:tc>
          <w:tcPr>
            <w:tcW w:w="584" w:type="pct"/>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Vršni nivo</w:t>
            </w:r>
          </w:p>
        </w:tc>
      </w:tr>
      <w:tr w:rsidR="00F77EEB" w:rsidRPr="00F77EEB" w:rsidTr="00250A1F">
        <w:trPr>
          <w:trHeight w:val="240"/>
          <w:jc w:val="center"/>
        </w:trPr>
        <w:tc>
          <w:tcPr>
            <w:tcW w:w="605" w:type="pct"/>
            <w:vMerge/>
            <w:shd w:val="clear" w:color="auto" w:fill="FFFFCC"/>
            <w:vAlign w:val="center"/>
          </w:tcPr>
          <w:p w:rsidR="00360122" w:rsidRPr="00F77EEB" w:rsidRDefault="00360122" w:rsidP="00383E61">
            <w:pPr>
              <w:jc w:val="center"/>
              <w:rPr>
                <w:rFonts w:ascii="Arial" w:hAnsi="Arial" w:cs="Arial"/>
                <w:b/>
                <w:sz w:val="22"/>
                <w:szCs w:val="22"/>
              </w:rPr>
            </w:pPr>
          </w:p>
        </w:tc>
        <w:tc>
          <w:tcPr>
            <w:tcW w:w="2729" w:type="pct"/>
            <w:vMerge/>
            <w:shd w:val="clear" w:color="auto" w:fill="FFFFCC"/>
            <w:vAlign w:val="center"/>
          </w:tcPr>
          <w:p w:rsidR="00360122" w:rsidRPr="00F77EEB" w:rsidRDefault="00360122" w:rsidP="00383E61">
            <w:pPr>
              <w:jc w:val="center"/>
              <w:rPr>
                <w:rFonts w:ascii="Arial" w:hAnsi="Arial" w:cs="Arial"/>
                <w:b/>
                <w:sz w:val="22"/>
                <w:szCs w:val="22"/>
              </w:rPr>
            </w:pPr>
          </w:p>
        </w:tc>
        <w:tc>
          <w:tcPr>
            <w:tcW w:w="511" w:type="pct"/>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Dan</w:t>
            </w:r>
          </w:p>
        </w:tc>
        <w:tc>
          <w:tcPr>
            <w:tcW w:w="572" w:type="pct"/>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Noć</w:t>
            </w:r>
          </w:p>
        </w:tc>
        <w:tc>
          <w:tcPr>
            <w:tcW w:w="584" w:type="pct"/>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L1</w:t>
            </w:r>
          </w:p>
        </w:tc>
      </w:tr>
      <w:tr w:rsidR="00F77EEB" w:rsidRPr="00F77EEB" w:rsidTr="00250A1F">
        <w:trPr>
          <w:jc w:val="center"/>
        </w:trPr>
        <w:tc>
          <w:tcPr>
            <w:tcW w:w="605" w:type="pct"/>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IV</w:t>
            </w:r>
          </w:p>
        </w:tc>
        <w:tc>
          <w:tcPr>
            <w:tcW w:w="2729" w:type="pct"/>
            <w:shd w:val="clear" w:color="auto" w:fill="auto"/>
            <w:vAlign w:val="center"/>
          </w:tcPr>
          <w:p w:rsidR="00360122" w:rsidRPr="00F77EEB" w:rsidRDefault="00360122" w:rsidP="00383E61">
            <w:pPr>
              <w:rPr>
                <w:rFonts w:ascii="Arial" w:hAnsi="Arial" w:cs="Arial"/>
                <w:sz w:val="22"/>
                <w:szCs w:val="22"/>
              </w:rPr>
            </w:pPr>
            <w:r w:rsidRPr="00F77EEB">
              <w:rPr>
                <w:rFonts w:ascii="Arial" w:hAnsi="Arial" w:cs="Arial"/>
                <w:sz w:val="22"/>
                <w:szCs w:val="22"/>
              </w:rPr>
              <w:t>Trgovačko, poslovno, stambeno i stambeno uz saobraćajne koridore, skladišta bez teškog transporta</w:t>
            </w:r>
          </w:p>
        </w:tc>
        <w:tc>
          <w:tcPr>
            <w:tcW w:w="511" w:type="pct"/>
            <w:shd w:val="clear" w:color="auto" w:fill="auto"/>
            <w:vAlign w:val="center"/>
          </w:tcPr>
          <w:p w:rsidR="00360122" w:rsidRPr="00F77EEB" w:rsidRDefault="00360122" w:rsidP="00383E61">
            <w:pPr>
              <w:jc w:val="center"/>
              <w:rPr>
                <w:rFonts w:ascii="Arial" w:hAnsi="Arial" w:cs="Arial"/>
                <w:sz w:val="22"/>
                <w:szCs w:val="22"/>
              </w:rPr>
            </w:pPr>
            <w:r w:rsidRPr="00F77EEB">
              <w:rPr>
                <w:rFonts w:ascii="Arial" w:hAnsi="Arial" w:cs="Arial"/>
                <w:sz w:val="22"/>
                <w:szCs w:val="22"/>
              </w:rPr>
              <w:t>60</w:t>
            </w:r>
          </w:p>
        </w:tc>
        <w:tc>
          <w:tcPr>
            <w:tcW w:w="572" w:type="pct"/>
            <w:shd w:val="clear" w:color="auto" w:fill="auto"/>
            <w:vAlign w:val="center"/>
          </w:tcPr>
          <w:p w:rsidR="00360122" w:rsidRPr="00F77EEB" w:rsidRDefault="00360122" w:rsidP="00383E61">
            <w:pPr>
              <w:jc w:val="center"/>
              <w:rPr>
                <w:rFonts w:ascii="Arial" w:hAnsi="Arial" w:cs="Arial"/>
                <w:sz w:val="22"/>
                <w:szCs w:val="22"/>
              </w:rPr>
            </w:pPr>
            <w:r w:rsidRPr="00F77EEB">
              <w:rPr>
                <w:rFonts w:ascii="Arial" w:hAnsi="Arial" w:cs="Arial"/>
                <w:sz w:val="22"/>
                <w:szCs w:val="22"/>
              </w:rPr>
              <w:t>50</w:t>
            </w:r>
          </w:p>
        </w:tc>
        <w:tc>
          <w:tcPr>
            <w:tcW w:w="584" w:type="pct"/>
            <w:shd w:val="clear" w:color="auto" w:fill="auto"/>
            <w:vAlign w:val="center"/>
          </w:tcPr>
          <w:p w:rsidR="00360122" w:rsidRPr="00F77EEB" w:rsidRDefault="00360122" w:rsidP="00383E61">
            <w:pPr>
              <w:jc w:val="center"/>
              <w:rPr>
                <w:rFonts w:ascii="Arial" w:hAnsi="Arial" w:cs="Arial"/>
                <w:sz w:val="22"/>
                <w:szCs w:val="22"/>
              </w:rPr>
            </w:pPr>
            <w:r w:rsidRPr="00F77EEB">
              <w:rPr>
                <w:rFonts w:ascii="Arial" w:hAnsi="Arial" w:cs="Arial"/>
                <w:sz w:val="22"/>
                <w:szCs w:val="22"/>
              </w:rPr>
              <w:t>75</w:t>
            </w:r>
          </w:p>
        </w:tc>
      </w:tr>
      <w:tr w:rsidR="00360122" w:rsidRPr="00F77EEB" w:rsidTr="00250A1F">
        <w:trPr>
          <w:jc w:val="center"/>
        </w:trPr>
        <w:tc>
          <w:tcPr>
            <w:tcW w:w="605" w:type="pct"/>
            <w:shd w:val="clear" w:color="auto" w:fill="auto"/>
            <w:vAlign w:val="center"/>
          </w:tcPr>
          <w:p w:rsidR="00360122" w:rsidRPr="00F77EEB" w:rsidRDefault="00360122" w:rsidP="00383E61">
            <w:pPr>
              <w:jc w:val="center"/>
              <w:rPr>
                <w:rFonts w:ascii="Arial" w:hAnsi="Arial" w:cs="Arial"/>
                <w:b/>
                <w:sz w:val="22"/>
                <w:szCs w:val="22"/>
              </w:rPr>
            </w:pPr>
            <w:r w:rsidRPr="00F77EEB">
              <w:rPr>
                <w:rFonts w:ascii="Arial" w:hAnsi="Arial" w:cs="Arial"/>
                <w:b/>
                <w:sz w:val="22"/>
                <w:szCs w:val="22"/>
              </w:rPr>
              <w:t>5</w:t>
            </w:r>
          </w:p>
        </w:tc>
        <w:tc>
          <w:tcPr>
            <w:tcW w:w="2729" w:type="pct"/>
            <w:shd w:val="clear" w:color="auto" w:fill="auto"/>
            <w:vAlign w:val="center"/>
          </w:tcPr>
          <w:p w:rsidR="00360122" w:rsidRPr="00F77EEB" w:rsidRDefault="00360122" w:rsidP="00383E61">
            <w:pPr>
              <w:rPr>
                <w:rFonts w:ascii="Arial" w:hAnsi="Arial" w:cs="Arial"/>
                <w:sz w:val="22"/>
                <w:szCs w:val="22"/>
              </w:rPr>
            </w:pPr>
            <w:r w:rsidRPr="00F77EEB">
              <w:rPr>
                <w:rFonts w:ascii="Arial" w:hAnsi="Arial" w:cs="Arial"/>
                <w:sz w:val="22"/>
                <w:szCs w:val="22"/>
              </w:rPr>
              <w:t>Poslovno, upravno, trgovačko, zanatsko, servisno (komunalni servis)</w:t>
            </w:r>
          </w:p>
        </w:tc>
        <w:tc>
          <w:tcPr>
            <w:tcW w:w="511" w:type="pct"/>
            <w:shd w:val="clear" w:color="auto" w:fill="auto"/>
            <w:vAlign w:val="center"/>
          </w:tcPr>
          <w:p w:rsidR="00360122" w:rsidRPr="00F77EEB" w:rsidRDefault="00360122" w:rsidP="00383E61">
            <w:pPr>
              <w:jc w:val="center"/>
              <w:rPr>
                <w:rFonts w:ascii="Arial" w:hAnsi="Arial" w:cs="Arial"/>
                <w:sz w:val="22"/>
                <w:szCs w:val="22"/>
              </w:rPr>
            </w:pPr>
            <w:r w:rsidRPr="00F77EEB">
              <w:rPr>
                <w:rFonts w:ascii="Arial" w:hAnsi="Arial" w:cs="Arial"/>
                <w:sz w:val="22"/>
                <w:szCs w:val="22"/>
              </w:rPr>
              <w:t>65</w:t>
            </w:r>
          </w:p>
        </w:tc>
        <w:tc>
          <w:tcPr>
            <w:tcW w:w="572" w:type="pct"/>
            <w:shd w:val="clear" w:color="auto" w:fill="auto"/>
            <w:vAlign w:val="center"/>
          </w:tcPr>
          <w:p w:rsidR="00360122" w:rsidRPr="00F77EEB" w:rsidRDefault="00360122" w:rsidP="00383E61">
            <w:pPr>
              <w:jc w:val="center"/>
              <w:rPr>
                <w:rFonts w:ascii="Arial" w:hAnsi="Arial" w:cs="Arial"/>
                <w:sz w:val="22"/>
                <w:szCs w:val="22"/>
              </w:rPr>
            </w:pPr>
            <w:r w:rsidRPr="00F77EEB">
              <w:rPr>
                <w:rFonts w:ascii="Arial" w:hAnsi="Arial" w:cs="Arial"/>
                <w:sz w:val="22"/>
                <w:szCs w:val="22"/>
              </w:rPr>
              <w:t>60</w:t>
            </w:r>
          </w:p>
        </w:tc>
        <w:tc>
          <w:tcPr>
            <w:tcW w:w="584" w:type="pct"/>
            <w:shd w:val="clear" w:color="auto" w:fill="auto"/>
            <w:vAlign w:val="center"/>
          </w:tcPr>
          <w:p w:rsidR="00360122" w:rsidRPr="00F77EEB" w:rsidRDefault="00360122" w:rsidP="00383E61">
            <w:pPr>
              <w:jc w:val="center"/>
              <w:rPr>
                <w:rFonts w:ascii="Arial" w:hAnsi="Arial" w:cs="Arial"/>
                <w:sz w:val="22"/>
                <w:szCs w:val="22"/>
              </w:rPr>
            </w:pPr>
            <w:r w:rsidRPr="00F77EEB">
              <w:rPr>
                <w:rFonts w:ascii="Arial" w:hAnsi="Arial" w:cs="Arial"/>
                <w:sz w:val="22"/>
                <w:szCs w:val="22"/>
              </w:rPr>
              <w:t>80</w:t>
            </w:r>
          </w:p>
        </w:tc>
      </w:tr>
    </w:tbl>
    <w:p w:rsidR="00360122" w:rsidRPr="00F77EEB" w:rsidRDefault="00360122" w:rsidP="00360122">
      <w:pPr>
        <w:jc w:val="both"/>
        <w:rPr>
          <w:rFonts w:ascii="Arial" w:hAnsi="Arial" w:cs="Arial"/>
          <w:sz w:val="22"/>
          <w:szCs w:val="22"/>
          <w:lang w:val="pl-PL"/>
        </w:rPr>
      </w:pPr>
    </w:p>
    <w:p w:rsidR="00360122" w:rsidRPr="00F77EEB" w:rsidRDefault="00360122" w:rsidP="00360122">
      <w:pPr>
        <w:jc w:val="both"/>
        <w:rPr>
          <w:rFonts w:ascii="Arial" w:hAnsi="Arial" w:cs="Arial"/>
          <w:sz w:val="22"/>
          <w:szCs w:val="22"/>
          <w:lang w:val="pl-PL"/>
        </w:rPr>
      </w:pPr>
      <w:r w:rsidRPr="00F77EEB">
        <w:rPr>
          <w:rFonts w:ascii="Arial" w:hAnsi="Arial" w:cs="Arial"/>
          <w:sz w:val="22"/>
          <w:szCs w:val="22"/>
          <w:lang w:val="pl-PL"/>
        </w:rPr>
        <w:t>Po odredbama ovog Zakona dan je od 06,00 do 22,00 sati, a noć od 22,00 do 6,00 sati.</w:t>
      </w:r>
    </w:p>
    <w:p w:rsidR="00360122" w:rsidRPr="00F77EEB" w:rsidRDefault="00360122" w:rsidP="00360122">
      <w:pPr>
        <w:rPr>
          <w:rFonts w:ascii="Arial" w:hAnsi="Arial" w:cs="Arial"/>
          <w:sz w:val="22"/>
          <w:szCs w:val="22"/>
        </w:rPr>
      </w:pPr>
    </w:p>
    <w:p w:rsidR="00263E90" w:rsidRPr="00F77EEB" w:rsidRDefault="00263E90" w:rsidP="00263E90">
      <w:pPr>
        <w:tabs>
          <w:tab w:val="left" w:pos="0"/>
          <w:tab w:val="left" w:pos="540"/>
        </w:tabs>
        <w:jc w:val="both"/>
        <w:rPr>
          <w:rFonts w:ascii="Arial" w:hAnsi="Arial" w:cs="Arial"/>
          <w:b/>
          <w:bCs/>
          <w:sz w:val="22"/>
          <w:szCs w:val="22"/>
          <w:lang w:val="sl-SI"/>
        </w:rPr>
      </w:pPr>
      <w:r w:rsidRPr="00F77EEB">
        <w:rPr>
          <w:rFonts w:ascii="Arial" w:hAnsi="Arial" w:cs="Arial"/>
          <w:b/>
          <w:bCs/>
          <w:sz w:val="22"/>
          <w:szCs w:val="22"/>
          <w:lang w:val="sl-SI"/>
        </w:rPr>
        <w:t xml:space="preserve">5.2. Granične vrijednosti za otpadne vode </w:t>
      </w:r>
    </w:p>
    <w:p w:rsidR="00263E90" w:rsidRPr="00F77EEB" w:rsidRDefault="00263E90" w:rsidP="00263E90">
      <w:pPr>
        <w:jc w:val="both"/>
        <w:rPr>
          <w:rFonts w:ascii="Arial" w:hAnsi="Arial" w:cs="Arial"/>
          <w:sz w:val="22"/>
          <w:szCs w:val="22"/>
        </w:rPr>
      </w:pPr>
    </w:p>
    <w:p w:rsidR="00365BDD" w:rsidRPr="00F77EEB" w:rsidRDefault="00263E90" w:rsidP="00365BDD">
      <w:pPr>
        <w:jc w:val="both"/>
        <w:rPr>
          <w:rFonts w:ascii="Arial" w:hAnsi="Arial" w:cs="Arial"/>
          <w:sz w:val="22"/>
          <w:szCs w:val="22"/>
        </w:rPr>
      </w:pPr>
      <w:r w:rsidRPr="00F77EEB">
        <w:rPr>
          <w:rFonts w:ascii="Arial" w:hAnsi="Arial" w:cs="Arial"/>
          <w:sz w:val="22"/>
          <w:szCs w:val="22"/>
          <w:lang w:val="hr-BA"/>
        </w:rPr>
        <w:t xml:space="preserve">Prije nego što se otpadne vode iz postrojenja za tretman otpadnih voda ispuste u površinske vode treba ih pročistiti do kvaliteta koji odgovara </w:t>
      </w:r>
      <w:r w:rsidRPr="00F77EEB">
        <w:rPr>
          <w:rFonts w:ascii="Arial" w:hAnsi="Arial" w:cs="Arial"/>
          <w:sz w:val="22"/>
          <w:szCs w:val="22"/>
          <w:bdr w:val="none" w:sz="0" w:space="0" w:color="auto" w:frame="1"/>
        </w:rPr>
        <w:t xml:space="preserve">Uredbi </w:t>
      </w:r>
      <w:r w:rsidR="00365BDD" w:rsidRPr="00F77EEB">
        <w:rPr>
          <w:rFonts w:ascii="Arial" w:hAnsi="Arial" w:cs="Arial"/>
          <w:sz w:val="22"/>
          <w:szCs w:val="22"/>
          <w:bdr w:val="none" w:sz="0" w:space="0" w:color="auto" w:frame="1"/>
        </w:rPr>
        <w:t>o</w:t>
      </w:r>
      <w:r w:rsidR="00CA1AEB" w:rsidRPr="00F77EEB">
        <w:rPr>
          <w:rFonts w:ascii="Arial" w:hAnsi="Arial" w:cs="Arial"/>
          <w:sz w:val="22"/>
          <w:szCs w:val="22"/>
          <w:bdr w:val="none" w:sz="0" w:space="0" w:color="auto" w:frame="1"/>
        </w:rPr>
        <w:t xml:space="preserve"> uslovima ispuštanja otpadnih voda u okoliš i sisteme javne kanalizacije </w:t>
      </w:r>
      <w:r w:rsidR="00365BDD" w:rsidRPr="00F77EEB">
        <w:rPr>
          <w:rFonts w:ascii="Arial" w:hAnsi="Arial" w:cs="Arial"/>
          <w:sz w:val="22"/>
          <w:szCs w:val="22"/>
        </w:rPr>
        <w:t xml:space="preserve">(„Službene novine Federacije BiH“, br. </w:t>
      </w:r>
      <w:r w:rsidR="00CA1AEB" w:rsidRPr="00F77EEB">
        <w:rPr>
          <w:rFonts w:ascii="Arial" w:hAnsi="Arial" w:cs="Arial"/>
          <w:sz w:val="22"/>
          <w:szCs w:val="22"/>
        </w:rPr>
        <w:t>26/20</w:t>
      </w:r>
      <w:r w:rsidR="00365BDD" w:rsidRPr="00F77EEB">
        <w:rPr>
          <w:rFonts w:ascii="Arial" w:hAnsi="Arial" w:cs="Arial"/>
          <w:sz w:val="22"/>
          <w:szCs w:val="22"/>
        </w:rPr>
        <w:t>).</w:t>
      </w:r>
      <w:r w:rsidR="00365BDD" w:rsidRPr="00F77EEB">
        <w:rPr>
          <w:rFonts w:ascii="Arial" w:hAnsi="Arial" w:cs="Arial"/>
          <w:sz w:val="22"/>
          <w:szCs w:val="22"/>
          <w:lang w:val="hr-BA"/>
        </w:rPr>
        <w:t xml:space="preserve"> </w:t>
      </w:r>
    </w:p>
    <w:p w:rsidR="00263E90" w:rsidRPr="00F77EEB" w:rsidRDefault="00263E90" w:rsidP="00263E90">
      <w:pPr>
        <w:tabs>
          <w:tab w:val="left" w:pos="1210"/>
        </w:tabs>
        <w:ind w:left="1210" w:hanging="1320"/>
        <w:rPr>
          <w:rFonts w:ascii="Arial" w:hAnsi="Arial" w:cs="Arial"/>
          <w:sz w:val="22"/>
          <w:szCs w:val="22"/>
        </w:rPr>
      </w:pPr>
    </w:p>
    <w:p w:rsidR="00263E90" w:rsidRPr="00F77EEB" w:rsidRDefault="00263E90" w:rsidP="00263E90">
      <w:pPr>
        <w:tabs>
          <w:tab w:val="left" w:pos="1210"/>
        </w:tabs>
        <w:ind w:left="1210" w:hanging="1320"/>
        <w:rPr>
          <w:rFonts w:ascii="Arial" w:hAnsi="Arial" w:cs="Arial"/>
          <w:sz w:val="22"/>
          <w:szCs w:val="22"/>
          <w:lang w:val="en-GB"/>
        </w:rPr>
      </w:pPr>
      <w:r w:rsidRPr="00F77EEB">
        <w:rPr>
          <w:rFonts w:ascii="Arial" w:hAnsi="Arial" w:cs="Arial"/>
          <w:sz w:val="22"/>
          <w:szCs w:val="22"/>
        </w:rPr>
        <w:t>Tabela</w:t>
      </w:r>
      <w:r w:rsidRPr="00F77EEB">
        <w:rPr>
          <w:rFonts w:ascii="Arial" w:hAnsi="Arial" w:cs="Arial"/>
          <w:sz w:val="22"/>
          <w:szCs w:val="22"/>
          <w:lang w:val="hr-BA"/>
        </w:rPr>
        <w:t xml:space="preserve"> 2. </w:t>
      </w:r>
      <w:r w:rsidRPr="00F77EEB">
        <w:rPr>
          <w:rFonts w:ascii="Arial" w:hAnsi="Arial" w:cs="Arial"/>
          <w:sz w:val="22"/>
          <w:szCs w:val="22"/>
          <w:lang w:val="en-GB"/>
        </w:rPr>
        <w:t xml:space="preserve">Granične vrijednosti emisije supstanci i parametara kvaliteta za otpadne </w:t>
      </w:r>
      <w:proofErr w:type="gramStart"/>
      <w:r w:rsidRPr="00F77EEB">
        <w:rPr>
          <w:rFonts w:ascii="Arial" w:hAnsi="Arial" w:cs="Arial"/>
          <w:sz w:val="22"/>
          <w:szCs w:val="22"/>
          <w:lang w:val="en-GB"/>
        </w:rPr>
        <w:t xml:space="preserve">vode </w:t>
      </w:r>
      <w:r w:rsidR="00732C2F" w:rsidRPr="00F77EEB">
        <w:rPr>
          <w:rFonts w:ascii="Arial" w:hAnsi="Arial" w:cs="Arial"/>
          <w:sz w:val="22"/>
          <w:szCs w:val="22"/>
          <w:lang w:val="en-GB"/>
        </w:rPr>
        <w:t xml:space="preserve"> (</w:t>
      </w:r>
      <w:proofErr w:type="gramEnd"/>
      <w:r w:rsidR="00732C2F" w:rsidRPr="00F77EEB">
        <w:rPr>
          <w:rFonts w:ascii="Arial" w:hAnsi="Arial" w:cs="Arial"/>
          <w:sz w:val="22"/>
          <w:szCs w:val="22"/>
          <w:lang w:val="en-GB"/>
        </w:rPr>
        <w:t>prema vodnom aktu)</w:t>
      </w:r>
    </w:p>
    <w:p w:rsidR="00263E90" w:rsidRPr="00F77EEB" w:rsidRDefault="00263E90" w:rsidP="00263E90">
      <w:pPr>
        <w:tabs>
          <w:tab w:val="left" w:pos="1210"/>
        </w:tabs>
        <w:ind w:left="1210" w:hanging="1320"/>
        <w:rPr>
          <w:rFonts w:ascii="Arial" w:hAnsi="Arial" w:cs="Arial"/>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
        <w:gridCol w:w="3162"/>
        <w:gridCol w:w="1338"/>
        <w:gridCol w:w="2174"/>
        <w:gridCol w:w="2174"/>
      </w:tblGrid>
      <w:tr w:rsidR="00F77EEB" w:rsidRPr="00F77EEB" w:rsidTr="00835559">
        <w:trPr>
          <w:trHeight w:val="383"/>
        </w:trPr>
        <w:tc>
          <w:tcPr>
            <w:tcW w:w="1961" w:type="pct"/>
            <w:gridSpan w:val="2"/>
            <w:vMerge w:val="restart"/>
            <w:tcBorders>
              <w:top w:val="single" w:sz="12" w:space="0" w:color="000000"/>
              <w:left w:val="nil"/>
              <w:right w:val="nil"/>
            </w:tcBorders>
            <w:vAlign w:val="center"/>
          </w:tcPr>
          <w:p w:rsidR="00263E90" w:rsidRPr="00F77EEB" w:rsidRDefault="00263E90" w:rsidP="00835559">
            <w:pPr>
              <w:numPr>
                <w:ilvl w:val="1"/>
                <w:numId w:val="0"/>
              </w:numPr>
              <w:snapToGrid w:val="0"/>
              <w:jc w:val="both"/>
              <w:rPr>
                <w:rFonts w:ascii="Arial" w:hAnsi="Arial" w:cs="Arial"/>
                <w:iCs/>
                <w:spacing w:val="15"/>
                <w:sz w:val="22"/>
                <w:szCs w:val="22"/>
                <w:lang w:val="en-GB" w:eastAsia="sl-SI"/>
              </w:rPr>
            </w:pPr>
            <w:r w:rsidRPr="00F77EEB">
              <w:rPr>
                <w:rFonts w:ascii="Arial" w:hAnsi="Arial" w:cs="Arial"/>
                <w:iCs/>
                <w:spacing w:val="15"/>
                <w:sz w:val="22"/>
                <w:szCs w:val="22"/>
                <w:lang w:val="en-GB" w:eastAsia="sl-SI"/>
              </w:rPr>
              <w:t>Parametar</w:t>
            </w:r>
          </w:p>
        </w:tc>
        <w:tc>
          <w:tcPr>
            <w:tcW w:w="715" w:type="pct"/>
            <w:vMerge w:val="restart"/>
            <w:tcBorders>
              <w:top w:val="single" w:sz="12" w:space="0" w:color="000000"/>
              <w:left w:val="nil"/>
              <w:right w:val="nil"/>
            </w:tcBorders>
            <w:vAlign w:val="center"/>
          </w:tcPr>
          <w:p w:rsidR="00263E90" w:rsidRPr="00F77EEB" w:rsidRDefault="00263E90" w:rsidP="00835559">
            <w:pPr>
              <w:jc w:val="center"/>
              <w:rPr>
                <w:rFonts w:ascii="Arial" w:hAnsi="Arial" w:cs="Arial"/>
                <w:b/>
                <w:sz w:val="22"/>
                <w:szCs w:val="22"/>
                <w:lang w:val="en-GB"/>
              </w:rPr>
            </w:pPr>
            <w:r w:rsidRPr="00F77EEB">
              <w:rPr>
                <w:rFonts w:ascii="Arial" w:hAnsi="Arial" w:cs="Arial"/>
                <w:b/>
                <w:sz w:val="22"/>
                <w:szCs w:val="22"/>
                <w:lang w:val="en-GB"/>
              </w:rPr>
              <w:t>Jedinica mjere</w:t>
            </w:r>
          </w:p>
        </w:tc>
        <w:tc>
          <w:tcPr>
            <w:tcW w:w="2324" w:type="pct"/>
            <w:gridSpan w:val="2"/>
            <w:tcBorders>
              <w:top w:val="single" w:sz="12" w:space="0" w:color="000000"/>
              <w:left w:val="nil"/>
              <w:right w:val="nil"/>
            </w:tcBorders>
          </w:tcPr>
          <w:p w:rsidR="00263E90" w:rsidRPr="00F77EEB" w:rsidRDefault="00263E90" w:rsidP="00835559">
            <w:pPr>
              <w:jc w:val="center"/>
              <w:rPr>
                <w:rFonts w:ascii="Arial" w:hAnsi="Arial" w:cs="Arial"/>
                <w:sz w:val="22"/>
                <w:szCs w:val="22"/>
              </w:rPr>
            </w:pPr>
            <w:r w:rsidRPr="00F77EEB">
              <w:rPr>
                <w:rFonts w:ascii="Arial" w:hAnsi="Arial" w:cs="Arial"/>
                <w:b/>
                <w:sz w:val="22"/>
                <w:szCs w:val="22"/>
                <w:lang w:val="en-GB"/>
              </w:rPr>
              <w:t>Granične vrijednosti emisije industrijskih otpadnih voda koje se ispuštaju u</w:t>
            </w:r>
          </w:p>
        </w:tc>
      </w:tr>
      <w:tr w:rsidR="00F77EEB" w:rsidRPr="00F77EEB" w:rsidTr="00835559">
        <w:trPr>
          <w:trHeight w:val="382"/>
        </w:trPr>
        <w:tc>
          <w:tcPr>
            <w:tcW w:w="1961" w:type="pct"/>
            <w:gridSpan w:val="2"/>
            <w:vMerge/>
            <w:tcBorders>
              <w:left w:val="nil"/>
              <w:bottom w:val="single" w:sz="12" w:space="0" w:color="000000"/>
              <w:right w:val="nil"/>
            </w:tcBorders>
            <w:vAlign w:val="center"/>
          </w:tcPr>
          <w:p w:rsidR="00263E90" w:rsidRPr="00F77EEB" w:rsidRDefault="00263E90" w:rsidP="00835559">
            <w:pPr>
              <w:numPr>
                <w:ilvl w:val="1"/>
                <w:numId w:val="0"/>
              </w:numPr>
              <w:snapToGrid w:val="0"/>
              <w:jc w:val="both"/>
              <w:rPr>
                <w:rFonts w:ascii="Arial" w:hAnsi="Arial" w:cs="Arial"/>
                <w:iCs/>
                <w:spacing w:val="15"/>
                <w:sz w:val="22"/>
                <w:szCs w:val="22"/>
                <w:lang w:val="en-GB" w:eastAsia="sl-SI"/>
              </w:rPr>
            </w:pPr>
          </w:p>
        </w:tc>
        <w:tc>
          <w:tcPr>
            <w:tcW w:w="715" w:type="pct"/>
            <w:vMerge/>
            <w:tcBorders>
              <w:left w:val="nil"/>
              <w:bottom w:val="single" w:sz="12" w:space="0" w:color="000000"/>
              <w:right w:val="nil"/>
            </w:tcBorders>
            <w:vAlign w:val="center"/>
          </w:tcPr>
          <w:p w:rsidR="00263E90" w:rsidRPr="00F77EEB" w:rsidRDefault="00263E90" w:rsidP="00835559">
            <w:pPr>
              <w:jc w:val="center"/>
              <w:rPr>
                <w:rFonts w:ascii="Arial" w:hAnsi="Arial" w:cs="Arial"/>
                <w:b/>
                <w:sz w:val="22"/>
                <w:szCs w:val="22"/>
                <w:lang w:val="en-GB"/>
              </w:rPr>
            </w:pPr>
          </w:p>
        </w:tc>
        <w:tc>
          <w:tcPr>
            <w:tcW w:w="1162" w:type="pct"/>
            <w:tcBorders>
              <w:left w:val="nil"/>
              <w:bottom w:val="single" w:sz="12" w:space="0" w:color="000000"/>
              <w:right w:val="nil"/>
            </w:tcBorders>
            <w:vAlign w:val="center"/>
          </w:tcPr>
          <w:p w:rsidR="00263E90" w:rsidRPr="00F77EEB" w:rsidRDefault="00263E90" w:rsidP="00835559">
            <w:pPr>
              <w:autoSpaceDE w:val="0"/>
              <w:autoSpaceDN w:val="0"/>
              <w:adjustRightInd w:val="0"/>
              <w:jc w:val="center"/>
              <w:rPr>
                <w:rFonts w:ascii="Arial" w:hAnsi="Arial" w:cs="Arial"/>
                <w:b/>
                <w:sz w:val="22"/>
                <w:szCs w:val="22"/>
                <w:lang w:val="en-GB"/>
              </w:rPr>
            </w:pPr>
            <w:r w:rsidRPr="00F77EEB">
              <w:rPr>
                <w:rFonts w:ascii="Arial" w:hAnsi="Arial" w:cs="Arial"/>
                <w:b/>
                <w:sz w:val="22"/>
                <w:szCs w:val="22"/>
                <w:lang w:val="en-GB"/>
              </w:rPr>
              <w:t>površinska vodna tijela</w:t>
            </w:r>
          </w:p>
        </w:tc>
        <w:tc>
          <w:tcPr>
            <w:tcW w:w="1162" w:type="pct"/>
            <w:tcBorders>
              <w:left w:val="nil"/>
              <w:bottom w:val="single" w:sz="12" w:space="0" w:color="000000"/>
              <w:right w:val="nil"/>
            </w:tcBorders>
            <w:vAlign w:val="center"/>
          </w:tcPr>
          <w:p w:rsidR="00263E90" w:rsidRPr="00F77EEB" w:rsidRDefault="00263E90" w:rsidP="00835559">
            <w:pPr>
              <w:autoSpaceDE w:val="0"/>
              <w:autoSpaceDN w:val="0"/>
              <w:adjustRightInd w:val="0"/>
              <w:jc w:val="center"/>
              <w:rPr>
                <w:rFonts w:ascii="Arial" w:hAnsi="Arial" w:cs="Arial"/>
                <w:b/>
                <w:sz w:val="22"/>
                <w:szCs w:val="22"/>
                <w:lang w:val="en-GB"/>
              </w:rPr>
            </w:pPr>
            <w:r w:rsidRPr="00F77EEB">
              <w:rPr>
                <w:rFonts w:ascii="Arial" w:hAnsi="Arial" w:cs="Arial"/>
                <w:b/>
                <w:sz w:val="22"/>
                <w:szCs w:val="22"/>
                <w:lang w:val="en-GB"/>
              </w:rPr>
              <w:t xml:space="preserve">javni kanalizacioni sistem </w:t>
            </w:r>
          </w:p>
        </w:tc>
      </w:tr>
      <w:tr w:rsidR="00F77EEB" w:rsidRPr="00F77EEB" w:rsidTr="00835559">
        <w:trPr>
          <w:trHeight w:val="183"/>
        </w:trPr>
        <w:tc>
          <w:tcPr>
            <w:tcW w:w="1961" w:type="pct"/>
            <w:gridSpan w:val="2"/>
            <w:tcBorders>
              <w:top w:val="single" w:sz="12" w:space="0" w:color="000000"/>
              <w:left w:val="nil"/>
              <w:right w:val="nil"/>
            </w:tcBorders>
            <w:shd w:val="clear" w:color="auto" w:fill="auto"/>
            <w:vAlign w:val="center"/>
          </w:tcPr>
          <w:p w:rsidR="00263E90" w:rsidRPr="00F77EEB" w:rsidRDefault="00263E90" w:rsidP="00835559">
            <w:pPr>
              <w:numPr>
                <w:ilvl w:val="1"/>
                <w:numId w:val="0"/>
              </w:numPr>
              <w:snapToGrid w:val="0"/>
              <w:jc w:val="both"/>
              <w:rPr>
                <w:rFonts w:ascii="Arial" w:hAnsi="Arial" w:cs="Arial"/>
                <w:iCs/>
                <w:spacing w:val="15"/>
                <w:sz w:val="22"/>
                <w:szCs w:val="22"/>
                <w:lang w:val="en-GB" w:eastAsia="sl-SI"/>
              </w:rPr>
            </w:pPr>
            <w:r w:rsidRPr="00F77EEB">
              <w:rPr>
                <w:rFonts w:ascii="Arial" w:hAnsi="Arial" w:cs="Arial"/>
                <w:iCs/>
                <w:spacing w:val="15"/>
                <w:sz w:val="22"/>
                <w:szCs w:val="22"/>
                <w:lang w:val="en-GB" w:eastAsia="sl-SI"/>
              </w:rPr>
              <w:t>1</w:t>
            </w:r>
          </w:p>
        </w:tc>
        <w:tc>
          <w:tcPr>
            <w:tcW w:w="715" w:type="pct"/>
            <w:tcBorders>
              <w:top w:val="single" w:sz="12" w:space="0" w:color="000000"/>
              <w:left w:val="nil"/>
              <w:right w:val="nil"/>
            </w:tcBorders>
            <w:shd w:val="clear" w:color="auto" w:fill="auto"/>
            <w:vAlign w:val="center"/>
          </w:tcPr>
          <w:p w:rsidR="00263E90" w:rsidRPr="00F77EEB" w:rsidRDefault="00263E90" w:rsidP="00835559">
            <w:pPr>
              <w:numPr>
                <w:ilvl w:val="1"/>
                <w:numId w:val="0"/>
              </w:numPr>
              <w:snapToGrid w:val="0"/>
              <w:jc w:val="both"/>
              <w:rPr>
                <w:rFonts w:ascii="Arial" w:hAnsi="Arial" w:cs="Arial"/>
                <w:iCs/>
                <w:spacing w:val="15"/>
                <w:sz w:val="22"/>
                <w:szCs w:val="22"/>
                <w:lang w:val="en-GB" w:eastAsia="sl-SI"/>
              </w:rPr>
            </w:pPr>
            <w:r w:rsidRPr="00F77EEB">
              <w:rPr>
                <w:rFonts w:ascii="Arial" w:hAnsi="Arial" w:cs="Arial"/>
                <w:iCs/>
                <w:spacing w:val="15"/>
                <w:sz w:val="22"/>
                <w:szCs w:val="22"/>
                <w:lang w:val="en-GB" w:eastAsia="sl-SI"/>
              </w:rPr>
              <w:t>2</w:t>
            </w:r>
          </w:p>
        </w:tc>
        <w:tc>
          <w:tcPr>
            <w:tcW w:w="1162" w:type="pct"/>
            <w:tcBorders>
              <w:top w:val="single" w:sz="12" w:space="0" w:color="000000"/>
              <w:left w:val="nil"/>
              <w:right w:val="nil"/>
            </w:tcBorders>
            <w:shd w:val="clear" w:color="auto" w:fill="auto"/>
            <w:vAlign w:val="center"/>
          </w:tcPr>
          <w:p w:rsidR="00263E90" w:rsidRPr="00F77EEB" w:rsidRDefault="00263E90" w:rsidP="00835559">
            <w:pPr>
              <w:numPr>
                <w:ilvl w:val="1"/>
                <w:numId w:val="0"/>
              </w:numPr>
              <w:snapToGrid w:val="0"/>
              <w:jc w:val="both"/>
              <w:rPr>
                <w:rFonts w:ascii="Arial" w:hAnsi="Arial" w:cs="Arial"/>
                <w:iCs/>
                <w:spacing w:val="15"/>
                <w:sz w:val="22"/>
                <w:szCs w:val="22"/>
                <w:lang w:val="en-GB" w:eastAsia="sl-SI"/>
              </w:rPr>
            </w:pPr>
            <w:r w:rsidRPr="00F77EEB">
              <w:rPr>
                <w:rFonts w:ascii="Arial" w:hAnsi="Arial" w:cs="Arial"/>
                <w:iCs/>
                <w:spacing w:val="15"/>
                <w:sz w:val="22"/>
                <w:szCs w:val="22"/>
                <w:lang w:val="en-GB" w:eastAsia="sl-SI"/>
              </w:rPr>
              <w:t>3</w:t>
            </w:r>
          </w:p>
        </w:tc>
        <w:tc>
          <w:tcPr>
            <w:tcW w:w="1162" w:type="pct"/>
            <w:tcBorders>
              <w:top w:val="single" w:sz="12" w:space="0" w:color="000000"/>
              <w:left w:val="nil"/>
              <w:right w:val="nil"/>
            </w:tcBorders>
            <w:shd w:val="clear" w:color="auto" w:fill="auto"/>
            <w:vAlign w:val="center"/>
          </w:tcPr>
          <w:p w:rsidR="00263E90" w:rsidRPr="00F77EEB" w:rsidRDefault="00263E90" w:rsidP="00835559">
            <w:pPr>
              <w:numPr>
                <w:ilvl w:val="1"/>
                <w:numId w:val="0"/>
              </w:numPr>
              <w:snapToGrid w:val="0"/>
              <w:jc w:val="both"/>
              <w:rPr>
                <w:rFonts w:ascii="Arial" w:hAnsi="Arial" w:cs="Arial"/>
                <w:iCs/>
                <w:spacing w:val="15"/>
                <w:sz w:val="22"/>
                <w:szCs w:val="22"/>
                <w:lang w:val="en-GB" w:eastAsia="sl-SI"/>
              </w:rPr>
            </w:pPr>
            <w:r w:rsidRPr="00F77EEB">
              <w:rPr>
                <w:rFonts w:ascii="Arial" w:hAnsi="Arial" w:cs="Arial"/>
                <w:iCs/>
                <w:spacing w:val="15"/>
                <w:sz w:val="22"/>
                <w:szCs w:val="22"/>
                <w:lang w:val="en-GB" w:eastAsia="sl-SI"/>
              </w:rPr>
              <w:t>4</w:t>
            </w:r>
          </w:p>
        </w:tc>
      </w:tr>
      <w:tr w:rsidR="00F77EEB" w:rsidRPr="00F77EEB" w:rsidTr="00835559">
        <w:tc>
          <w:tcPr>
            <w:tcW w:w="5000" w:type="pct"/>
            <w:gridSpan w:val="5"/>
            <w:tcBorders>
              <w:top w:val="single" w:sz="12" w:space="0" w:color="000000"/>
              <w:left w:val="nil"/>
              <w:bottom w:val="single" w:sz="12" w:space="0" w:color="000000"/>
              <w:right w:val="nil"/>
            </w:tcBorders>
            <w:shd w:val="clear" w:color="auto" w:fill="auto"/>
            <w:vAlign w:val="center"/>
          </w:tcPr>
          <w:p w:rsidR="00263E90" w:rsidRPr="00F77EEB" w:rsidRDefault="00263E90" w:rsidP="00835559">
            <w:pPr>
              <w:autoSpaceDE w:val="0"/>
              <w:autoSpaceDN w:val="0"/>
              <w:adjustRightInd w:val="0"/>
              <w:rPr>
                <w:rFonts w:ascii="Arial" w:hAnsi="Arial" w:cs="Arial"/>
                <w:b/>
                <w:sz w:val="22"/>
                <w:szCs w:val="22"/>
              </w:rPr>
            </w:pPr>
            <w:r w:rsidRPr="00F77EEB">
              <w:rPr>
                <w:rFonts w:ascii="Arial" w:hAnsi="Arial" w:cs="Arial"/>
                <w:b/>
                <w:sz w:val="22"/>
                <w:szCs w:val="22"/>
              </w:rPr>
              <w:t>A Opći parametri</w:t>
            </w:r>
          </w:p>
        </w:tc>
      </w:tr>
      <w:tr w:rsidR="00F77EEB" w:rsidRPr="00F77EEB" w:rsidTr="00835559">
        <w:tc>
          <w:tcPr>
            <w:tcW w:w="271" w:type="pct"/>
            <w:tcBorders>
              <w:top w:val="single" w:sz="12" w:space="0" w:color="000000"/>
              <w:left w:val="nil"/>
              <w:right w:val="nil"/>
            </w:tcBorders>
            <w:shd w:val="clear" w:color="auto" w:fill="auto"/>
            <w:vAlign w:val="center"/>
          </w:tcPr>
          <w:p w:rsidR="00263E90" w:rsidRPr="00F77EEB" w:rsidRDefault="00263E90" w:rsidP="00835559">
            <w:pPr>
              <w:jc w:val="center"/>
              <w:rPr>
                <w:rFonts w:ascii="Arial" w:hAnsi="Arial" w:cs="Arial"/>
                <w:sz w:val="22"/>
                <w:szCs w:val="22"/>
              </w:rPr>
            </w:pPr>
            <w:r w:rsidRPr="00F77EEB">
              <w:rPr>
                <w:rFonts w:ascii="Arial" w:hAnsi="Arial" w:cs="Arial"/>
                <w:sz w:val="22"/>
                <w:szCs w:val="22"/>
              </w:rPr>
              <w:t>1</w:t>
            </w:r>
          </w:p>
        </w:tc>
        <w:tc>
          <w:tcPr>
            <w:tcW w:w="1690" w:type="pct"/>
            <w:tcBorders>
              <w:top w:val="single" w:sz="12" w:space="0" w:color="000000"/>
              <w:left w:val="nil"/>
              <w:right w:val="nil"/>
            </w:tcBorders>
            <w:shd w:val="clear" w:color="auto" w:fill="auto"/>
          </w:tcPr>
          <w:p w:rsidR="00263E90" w:rsidRPr="00F77EEB" w:rsidRDefault="00263E90" w:rsidP="00835559">
            <w:pPr>
              <w:numPr>
                <w:ilvl w:val="1"/>
                <w:numId w:val="0"/>
              </w:numPr>
              <w:snapToGrid w:val="0"/>
              <w:rPr>
                <w:rFonts w:ascii="Arial" w:hAnsi="Arial" w:cs="Arial"/>
                <w:b/>
                <w:iCs/>
                <w:spacing w:val="15"/>
                <w:sz w:val="22"/>
                <w:szCs w:val="22"/>
                <w:lang w:val="en-GB" w:eastAsia="sl-SI"/>
              </w:rPr>
            </w:pPr>
            <w:r w:rsidRPr="00F77EEB">
              <w:rPr>
                <w:rFonts w:ascii="Arial" w:hAnsi="Arial" w:cs="Arial"/>
                <w:b/>
                <w:iCs/>
                <w:spacing w:val="15"/>
                <w:sz w:val="22"/>
                <w:szCs w:val="22"/>
                <w:lang w:val="en-GB" w:eastAsia="sl-SI"/>
              </w:rPr>
              <w:t>Maksimalna temperatura</w:t>
            </w:r>
          </w:p>
        </w:tc>
        <w:tc>
          <w:tcPr>
            <w:tcW w:w="715" w:type="pct"/>
            <w:tcBorders>
              <w:top w:val="single" w:sz="12" w:space="0" w:color="000000"/>
              <w:left w:val="nil"/>
              <w:right w:val="nil"/>
            </w:tcBorders>
            <w:shd w:val="clear" w:color="auto" w:fill="auto"/>
          </w:tcPr>
          <w:p w:rsidR="00263E90" w:rsidRPr="00F77EEB" w:rsidRDefault="00263E90" w:rsidP="00835559">
            <w:pPr>
              <w:numPr>
                <w:ilvl w:val="1"/>
                <w:numId w:val="0"/>
              </w:numPr>
              <w:snapToGrid w:val="0"/>
              <w:jc w:val="both"/>
              <w:rPr>
                <w:rFonts w:ascii="Arial" w:hAnsi="Arial" w:cs="Arial"/>
                <w:b/>
                <w:iCs/>
                <w:spacing w:val="15"/>
                <w:sz w:val="22"/>
                <w:szCs w:val="22"/>
                <w:lang w:val="en-GB" w:eastAsia="sl-SI"/>
              </w:rPr>
            </w:pPr>
            <w:r w:rsidRPr="00F77EEB">
              <w:rPr>
                <w:rFonts w:ascii="Arial" w:hAnsi="Arial" w:cs="Arial"/>
                <w:b/>
                <w:iCs/>
                <w:spacing w:val="15"/>
                <w:sz w:val="22"/>
                <w:szCs w:val="22"/>
                <w:vertAlign w:val="superscript"/>
                <w:lang w:val="en-GB" w:eastAsia="sl-SI"/>
              </w:rPr>
              <w:t>0</w:t>
            </w:r>
            <w:r w:rsidRPr="00F77EEB">
              <w:rPr>
                <w:rFonts w:ascii="Arial" w:hAnsi="Arial" w:cs="Arial"/>
                <w:b/>
                <w:iCs/>
                <w:spacing w:val="15"/>
                <w:sz w:val="22"/>
                <w:szCs w:val="22"/>
                <w:lang w:val="en-GB" w:eastAsia="sl-SI"/>
              </w:rPr>
              <w:t>C</w:t>
            </w:r>
          </w:p>
        </w:tc>
        <w:tc>
          <w:tcPr>
            <w:tcW w:w="1162" w:type="pct"/>
            <w:tcBorders>
              <w:top w:val="single" w:sz="12" w:space="0" w:color="000000"/>
              <w:left w:val="nil"/>
              <w:right w:val="nil"/>
            </w:tcBorders>
            <w:shd w:val="clear" w:color="auto" w:fill="auto"/>
          </w:tcPr>
          <w:p w:rsidR="00263E90" w:rsidRPr="00F77EEB" w:rsidRDefault="00263E90" w:rsidP="00835559">
            <w:pPr>
              <w:numPr>
                <w:ilvl w:val="1"/>
                <w:numId w:val="0"/>
              </w:numPr>
              <w:snapToGrid w:val="0"/>
              <w:jc w:val="both"/>
              <w:rPr>
                <w:rFonts w:ascii="Arial" w:hAnsi="Arial" w:cs="Arial"/>
                <w:b/>
                <w:iCs/>
                <w:spacing w:val="15"/>
                <w:sz w:val="22"/>
                <w:szCs w:val="22"/>
                <w:vertAlign w:val="superscript"/>
                <w:lang w:val="en-GB" w:eastAsia="sl-SI"/>
              </w:rPr>
            </w:pPr>
            <w:r w:rsidRPr="00F77EEB">
              <w:rPr>
                <w:rFonts w:ascii="Arial" w:hAnsi="Arial" w:cs="Arial"/>
                <w:b/>
                <w:iCs/>
                <w:spacing w:val="15"/>
                <w:sz w:val="22"/>
                <w:szCs w:val="22"/>
                <w:lang w:val="en-GB" w:eastAsia="sl-SI"/>
              </w:rPr>
              <w:t>30</w:t>
            </w:r>
          </w:p>
        </w:tc>
        <w:tc>
          <w:tcPr>
            <w:tcW w:w="1162" w:type="pct"/>
            <w:tcBorders>
              <w:top w:val="single" w:sz="12" w:space="0" w:color="000000"/>
              <w:left w:val="nil"/>
              <w:right w:val="nil"/>
            </w:tcBorders>
            <w:shd w:val="clear" w:color="auto" w:fill="auto"/>
          </w:tcPr>
          <w:p w:rsidR="00263E90" w:rsidRPr="00F77EEB" w:rsidRDefault="00263E90" w:rsidP="00835559">
            <w:pPr>
              <w:numPr>
                <w:ilvl w:val="1"/>
                <w:numId w:val="0"/>
              </w:numPr>
              <w:snapToGrid w:val="0"/>
              <w:jc w:val="both"/>
              <w:rPr>
                <w:rFonts w:ascii="Arial" w:hAnsi="Arial" w:cs="Arial"/>
                <w:b/>
                <w:iCs/>
                <w:spacing w:val="15"/>
                <w:sz w:val="22"/>
                <w:szCs w:val="22"/>
                <w:vertAlign w:val="superscript"/>
                <w:lang w:val="en-GB" w:eastAsia="sl-SI"/>
              </w:rPr>
            </w:pPr>
            <w:r w:rsidRPr="00F77EEB">
              <w:rPr>
                <w:rFonts w:ascii="Arial" w:hAnsi="Arial" w:cs="Arial"/>
                <w:b/>
                <w:iCs/>
                <w:spacing w:val="15"/>
                <w:sz w:val="22"/>
                <w:szCs w:val="22"/>
                <w:lang w:val="en-GB" w:eastAsia="sl-SI"/>
              </w:rPr>
              <w:t>40</w:t>
            </w:r>
          </w:p>
        </w:tc>
      </w:tr>
      <w:tr w:rsidR="00F77EEB" w:rsidRPr="00F77EEB" w:rsidTr="00835559">
        <w:tc>
          <w:tcPr>
            <w:tcW w:w="271" w:type="pct"/>
            <w:tcBorders>
              <w:left w:val="nil"/>
              <w:right w:val="nil"/>
            </w:tcBorders>
            <w:shd w:val="clear" w:color="auto" w:fill="auto"/>
            <w:vAlign w:val="center"/>
          </w:tcPr>
          <w:p w:rsidR="00263E90" w:rsidRPr="00F77EEB" w:rsidRDefault="00263E90" w:rsidP="00835559">
            <w:pPr>
              <w:jc w:val="center"/>
              <w:rPr>
                <w:rFonts w:ascii="Arial" w:hAnsi="Arial" w:cs="Arial"/>
                <w:sz w:val="22"/>
                <w:szCs w:val="22"/>
              </w:rPr>
            </w:pPr>
            <w:r w:rsidRPr="00F77EEB">
              <w:rPr>
                <w:rFonts w:ascii="Arial" w:hAnsi="Arial" w:cs="Arial"/>
                <w:sz w:val="22"/>
                <w:szCs w:val="22"/>
              </w:rPr>
              <w:t>2</w:t>
            </w:r>
          </w:p>
        </w:tc>
        <w:tc>
          <w:tcPr>
            <w:tcW w:w="1690" w:type="pct"/>
            <w:tcBorders>
              <w:left w:val="nil"/>
              <w:right w:val="nil"/>
            </w:tcBorders>
            <w:shd w:val="clear" w:color="auto" w:fill="auto"/>
            <w:vAlign w:val="center"/>
          </w:tcPr>
          <w:p w:rsidR="00263E90" w:rsidRPr="00F77EEB" w:rsidRDefault="00263E90" w:rsidP="00835559">
            <w:pPr>
              <w:autoSpaceDE w:val="0"/>
              <w:autoSpaceDN w:val="0"/>
              <w:adjustRightInd w:val="0"/>
              <w:rPr>
                <w:rFonts w:ascii="Arial" w:hAnsi="Arial" w:cs="Arial"/>
                <w:sz w:val="22"/>
                <w:szCs w:val="22"/>
                <w:lang w:val="en-GB"/>
              </w:rPr>
            </w:pPr>
            <w:r w:rsidRPr="00F77EEB">
              <w:rPr>
                <w:rFonts w:ascii="Arial" w:hAnsi="Arial" w:cs="Arial"/>
                <w:sz w:val="22"/>
                <w:szCs w:val="22"/>
                <w:lang w:val="en-GB"/>
              </w:rPr>
              <w:t>pH</w:t>
            </w:r>
          </w:p>
        </w:tc>
        <w:tc>
          <w:tcPr>
            <w:tcW w:w="715" w:type="pct"/>
            <w:tcBorders>
              <w:left w:val="nil"/>
              <w:right w:val="nil"/>
            </w:tcBorders>
            <w:shd w:val="clear" w:color="auto" w:fill="auto"/>
          </w:tcPr>
          <w:p w:rsidR="00263E90" w:rsidRPr="00F77EEB" w:rsidRDefault="00263E90" w:rsidP="00835559">
            <w:pPr>
              <w:jc w:val="center"/>
              <w:rPr>
                <w:rFonts w:ascii="Arial" w:hAnsi="Arial" w:cs="Arial"/>
                <w:sz w:val="22"/>
                <w:szCs w:val="22"/>
              </w:rPr>
            </w:pP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6,5 - 9,0</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6,5 - 9,5</w:t>
            </w:r>
          </w:p>
        </w:tc>
      </w:tr>
      <w:tr w:rsidR="00F77EEB" w:rsidRPr="00F77EEB" w:rsidTr="00835559">
        <w:tc>
          <w:tcPr>
            <w:tcW w:w="271" w:type="pct"/>
            <w:tcBorders>
              <w:left w:val="nil"/>
              <w:right w:val="nil"/>
            </w:tcBorders>
            <w:shd w:val="clear" w:color="auto" w:fill="auto"/>
            <w:vAlign w:val="center"/>
          </w:tcPr>
          <w:p w:rsidR="00263E90" w:rsidRPr="00F77EEB" w:rsidRDefault="00263E90" w:rsidP="00835559">
            <w:pPr>
              <w:jc w:val="center"/>
              <w:rPr>
                <w:rFonts w:ascii="Arial" w:hAnsi="Arial" w:cs="Arial"/>
                <w:sz w:val="22"/>
                <w:szCs w:val="22"/>
              </w:rPr>
            </w:pPr>
            <w:r w:rsidRPr="00F77EEB">
              <w:rPr>
                <w:rFonts w:ascii="Arial" w:hAnsi="Arial" w:cs="Arial"/>
                <w:sz w:val="22"/>
                <w:szCs w:val="22"/>
              </w:rPr>
              <w:t>3</w:t>
            </w:r>
          </w:p>
        </w:tc>
        <w:tc>
          <w:tcPr>
            <w:tcW w:w="1690" w:type="pct"/>
            <w:tcBorders>
              <w:left w:val="nil"/>
              <w:right w:val="nil"/>
            </w:tcBorders>
            <w:shd w:val="clear" w:color="auto" w:fill="auto"/>
            <w:vAlign w:val="center"/>
          </w:tcPr>
          <w:p w:rsidR="00263E90" w:rsidRPr="00F77EEB" w:rsidRDefault="00263E90" w:rsidP="00835559">
            <w:pPr>
              <w:autoSpaceDE w:val="0"/>
              <w:autoSpaceDN w:val="0"/>
              <w:adjustRightInd w:val="0"/>
              <w:rPr>
                <w:rFonts w:ascii="Arial" w:hAnsi="Arial" w:cs="Arial"/>
                <w:sz w:val="22"/>
                <w:szCs w:val="22"/>
                <w:lang w:val="en-GB"/>
              </w:rPr>
            </w:pPr>
            <w:r w:rsidRPr="00F77EEB">
              <w:rPr>
                <w:rFonts w:ascii="Arial" w:hAnsi="Arial" w:cs="Arial"/>
                <w:sz w:val="22"/>
                <w:szCs w:val="22"/>
                <w:lang w:val="en-GB"/>
              </w:rPr>
              <w:t>Taložive materije</w:t>
            </w:r>
          </w:p>
        </w:tc>
        <w:tc>
          <w:tcPr>
            <w:tcW w:w="715" w:type="pct"/>
            <w:tcBorders>
              <w:left w:val="nil"/>
              <w:right w:val="nil"/>
            </w:tcBorders>
            <w:shd w:val="clear" w:color="auto" w:fill="auto"/>
          </w:tcPr>
          <w:p w:rsidR="00263E90" w:rsidRPr="00F77EEB" w:rsidRDefault="00263E90" w:rsidP="00835559">
            <w:pPr>
              <w:jc w:val="center"/>
              <w:rPr>
                <w:rFonts w:ascii="Arial" w:hAnsi="Arial" w:cs="Arial"/>
                <w:sz w:val="22"/>
                <w:szCs w:val="22"/>
              </w:rPr>
            </w:pPr>
            <w:r w:rsidRPr="00F77EEB">
              <w:rPr>
                <w:rFonts w:ascii="Arial" w:hAnsi="Arial" w:cs="Arial"/>
                <w:sz w:val="22"/>
                <w:szCs w:val="22"/>
              </w:rPr>
              <w:t>ml/l</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0,5</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10,0</w:t>
            </w:r>
          </w:p>
        </w:tc>
      </w:tr>
      <w:tr w:rsidR="00F77EEB" w:rsidRPr="00F77EEB" w:rsidTr="00835559">
        <w:tc>
          <w:tcPr>
            <w:tcW w:w="271" w:type="pct"/>
            <w:tcBorders>
              <w:left w:val="nil"/>
              <w:right w:val="nil"/>
            </w:tcBorders>
            <w:shd w:val="clear" w:color="auto" w:fill="auto"/>
            <w:vAlign w:val="center"/>
          </w:tcPr>
          <w:p w:rsidR="00263E90" w:rsidRPr="00F77EEB" w:rsidRDefault="00263E90" w:rsidP="00835559">
            <w:pPr>
              <w:jc w:val="center"/>
              <w:rPr>
                <w:rFonts w:ascii="Arial" w:hAnsi="Arial" w:cs="Arial"/>
                <w:sz w:val="22"/>
                <w:szCs w:val="22"/>
              </w:rPr>
            </w:pPr>
            <w:r w:rsidRPr="00F77EEB">
              <w:rPr>
                <w:rFonts w:ascii="Arial" w:hAnsi="Arial" w:cs="Arial"/>
                <w:sz w:val="22"/>
                <w:szCs w:val="22"/>
              </w:rPr>
              <w:t>4</w:t>
            </w:r>
          </w:p>
        </w:tc>
        <w:tc>
          <w:tcPr>
            <w:tcW w:w="1690" w:type="pct"/>
            <w:tcBorders>
              <w:left w:val="nil"/>
              <w:right w:val="nil"/>
            </w:tcBorders>
            <w:shd w:val="clear" w:color="auto" w:fill="auto"/>
            <w:vAlign w:val="center"/>
          </w:tcPr>
          <w:p w:rsidR="00263E90" w:rsidRPr="00F77EEB" w:rsidRDefault="00263E90" w:rsidP="00835559">
            <w:pPr>
              <w:autoSpaceDE w:val="0"/>
              <w:autoSpaceDN w:val="0"/>
              <w:adjustRightInd w:val="0"/>
              <w:rPr>
                <w:rFonts w:ascii="Arial" w:hAnsi="Arial" w:cs="Arial"/>
                <w:sz w:val="22"/>
                <w:szCs w:val="22"/>
                <w:lang w:val="en-GB"/>
              </w:rPr>
            </w:pPr>
            <w:r w:rsidRPr="00F77EEB">
              <w:rPr>
                <w:rFonts w:ascii="Arial" w:hAnsi="Arial" w:cs="Arial"/>
                <w:sz w:val="22"/>
                <w:szCs w:val="22"/>
                <w:lang w:val="en-GB"/>
              </w:rPr>
              <w:t>Ukupne suspendirane materije</w:t>
            </w:r>
          </w:p>
        </w:tc>
        <w:tc>
          <w:tcPr>
            <w:tcW w:w="715" w:type="pct"/>
            <w:tcBorders>
              <w:left w:val="nil"/>
              <w:right w:val="nil"/>
            </w:tcBorders>
            <w:shd w:val="clear" w:color="auto" w:fill="auto"/>
          </w:tcPr>
          <w:p w:rsidR="00263E90" w:rsidRPr="00F77EEB" w:rsidRDefault="00263E90" w:rsidP="00835559">
            <w:pPr>
              <w:jc w:val="center"/>
              <w:rPr>
                <w:rFonts w:ascii="Arial" w:hAnsi="Arial" w:cs="Arial"/>
                <w:sz w:val="22"/>
                <w:szCs w:val="22"/>
              </w:rPr>
            </w:pPr>
            <w:r w:rsidRPr="00F77EEB">
              <w:rPr>
                <w:rFonts w:ascii="Arial" w:hAnsi="Arial" w:cs="Arial"/>
                <w:sz w:val="22"/>
                <w:szCs w:val="22"/>
              </w:rPr>
              <w:t>mg/l</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35,0</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400,0</w:t>
            </w:r>
          </w:p>
        </w:tc>
      </w:tr>
      <w:tr w:rsidR="00F77EEB" w:rsidRPr="00F77EEB" w:rsidTr="00835559">
        <w:tc>
          <w:tcPr>
            <w:tcW w:w="5000" w:type="pct"/>
            <w:gridSpan w:val="5"/>
            <w:tcBorders>
              <w:top w:val="single" w:sz="12" w:space="0" w:color="000000"/>
              <w:left w:val="nil"/>
              <w:bottom w:val="single" w:sz="12" w:space="0" w:color="000000"/>
              <w:right w:val="nil"/>
            </w:tcBorders>
            <w:shd w:val="clear" w:color="auto" w:fill="auto"/>
            <w:vAlign w:val="center"/>
          </w:tcPr>
          <w:p w:rsidR="00263E90" w:rsidRPr="00F77EEB" w:rsidRDefault="00263E90" w:rsidP="00835559">
            <w:pPr>
              <w:autoSpaceDE w:val="0"/>
              <w:autoSpaceDN w:val="0"/>
              <w:adjustRightInd w:val="0"/>
              <w:rPr>
                <w:rFonts w:ascii="Arial" w:hAnsi="Arial" w:cs="Arial"/>
                <w:b/>
                <w:sz w:val="22"/>
                <w:szCs w:val="22"/>
              </w:rPr>
            </w:pPr>
            <w:r w:rsidRPr="00F77EEB">
              <w:rPr>
                <w:rFonts w:ascii="Arial" w:hAnsi="Arial" w:cs="Arial"/>
                <w:b/>
                <w:sz w:val="22"/>
                <w:szCs w:val="22"/>
              </w:rPr>
              <w:t>D Organski parametri</w:t>
            </w:r>
          </w:p>
        </w:tc>
      </w:tr>
      <w:tr w:rsidR="00F77EEB" w:rsidRPr="00F77EEB" w:rsidTr="00835559">
        <w:tc>
          <w:tcPr>
            <w:tcW w:w="271" w:type="pct"/>
            <w:tcBorders>
              <w:top w:val="single" w:sz="4" w:space="0" w:color="000000"/>
              <w:left w:val="nil"/>
              <w:right w:val="nil"/>
            </w:tcBorders>
            <w:shd w:val="clear" w:color="auto" w:fill="auto"/>
            <w:vAlign w:val="center"/>
          </w:tcPr>
          <w:p w:rsidR="00263E90" w:rsidRPr="00F77EEB" w:rsidRDefault="00263E90" w:rsidP="00835559">
            <w:pPr>
              <w:jc w:val="center"/>
              <w:rPr>
                <w:rFonts w:ascii="Arial" w:hAnsi="Arial" w:cs="Arial"/>
                <w:sz w:val="22"/>
                <w:szCs w:val="22"/>
              </w:rPr>
            </w:pPr>
            <w:r w:rsidRPr="00F77EEB">
              <w:rPr>
                <w:rFonts w:ascii="Arial" w:hAnsi="Arial" w:cs="Arial"/>
                <w:sz w:val="22"/>
                <w:szCs w:val="22"/>
              </w:rPr>
              <w:t>2</w:t>
            </w:r>
          </w:p>
        </w:tc>
        <w:tc>
          <w:tcPr>
            <w:tcW w:w="1690" w:type="pct"/>
            <w:tcBorders>
              <w:top w:val="single" w:sz="4" w:space="0" w:color="000000"/>
              <w:left w:val="nil"/>
              <w:right w:val="nil"/>
            </w:tcBorders>
            <w:shd w:val="clear" w:color="auto" w:fill="auto"/>
            <w:vAlign w:val="center"/>
          </w:tcPr>
          <w:p w:rsidR="00263E90" w:rsidRPr="00F77EEB" w:rsidRDefault="00263E90" w:rsidP="00835559">
            <w:pPr>
              <w:autoSpaceDE w:val="0"/>
              <w:autoSpaceDN w:val="0"/>
              <w:adjustRightInd w:val="0"/>
              <w:rPr>
                <w:rFonts w:ascii="Arial" w:hAnsi="Arial" w:cs="Arial"/>
                <w:sz w:val="22"/>
                <w:szCs w:val="22"/>
                <w:lang w:val="en-GB"/>
              </w:rPr>
            </w:pPr>
            <w:r w:rsidRPr="00F77EEB">
              <w:rPr>
                <w:rFonts w:ascii="Arial" w:hAnsi="Arial" w:cs="Arial"/>
                <w:sz w:val="22"/>
                <w:szCs w:val="22"/>
                <w:lang w:val="en-GB"/>
              </w:rPr>
              <w:t>BPK</w:t>
            </w:r>
            <w:r w:rsidRPr="00F77EEB">
              <w:rPr>
                <w:rFonts w:ascii="Arial" w:hAnsi="Arial" w:cs="Arial"/>
                <w:sz w:val="22"/>
                <w:szCs w:val="22"/>
                <w:vertAlign w:val="subscript"/>
                <w:lang w:val="en-GB"/>
              </w:rPr>
              <w:t>5</w:t>
            </w:r>
          </w:p>
        </w:tc>
        <w:tc>
          <w:tcPr>
            <w:tcW w:w="715" w:type="pct"/>
            <w:tcBorders>
              <w:top w:val="single" w:sz="4" w:space="0" w:color="000000"/>
              <w:left w:val="nil"/>
              <w:right w:val="nil"/>
            </w:tcBorders>
            <w:shd w:val="clear" w:color="auto" w:fill="auto"/>
            <w:vAlign w:val="center"/>
          </w:tcPr>
          <w:p w:rsidR="00263E90" w:rsidRPr="00F77EEB" w:rsidRDefault="00263E90" w:rsidP="00835559">
            <w:pPr>
              <w:jc w:val="center"/>
              <w:rPr>
                <w:rFonts w:ascii="Arial" w:hAnsi="Arial" w:cs="Arial"/>
                <w:sz w:val="22"/>
                <w:szCs w:val="22"/>
                <w:shd w:val="clear" w:color="auto" w:fill="FFFFFF"/>
                <w:lang w:val="en-GB"/>
              </w:rPr>
            </w:pPr>
            <w:r w:rsidRPr="00F77EEB">
              <w:rPr>
                <w:rFonts w:ascii="Arial" w:hAnsi="Arial" w:cs="Arial"/>
                <w:sz w:val="22"/>
                <w:szCs w:val="22"/>
                <w:shd w:val="clear" w:color="auto" w:fill="FFFFFF"/>
                <w:lang w:val="en-GB"/>
              </w:rPr>
              <w:t>mgO</w:t>
            </w:r>
            <w:r w:rsidRPr="00F77EEB">
              <w:rPr>
                <w:rFonts w:ascii="Arial" w:hAnsi="Arial" w:cs="Arial"/>
                <w:sz w:val="22"/>
                <w:szCs w:val="22"/>
                <w:shd w:val="clear" w:color="auto" w:fill="FFFFFF"/>
                <w:vertAlign w:val="subscript"/>
                <w:lang w:val="en-GB"/>
              </w:rPr>
              <w:t>2</w:t>
            </w:r>
            <w:r w:rsidRPr="00F77EEB">
              <w:rPr>
                <w:rFonts w:ascii="Arial" w:hAnsi="Arial" w:cs="Arial"/>
                <w:sz w:val="22"/>
                <w:szCs w:val="22"/>
                <w:shd w:val="clear" w:color="auto" w:fill="FFFFFF"/>
                <w:lang w:val="en-GB"/>
              </w:rPr>
              <w:t>/l</w:t>
            </w:r>
          </w:p>
        </w:tc>
        <w:tc>
          <w:tcPr>
            <w:tcW w:w="1162" w:type="pct"/>
            <w:tcBorders>
              <w:top w:val="single" w:sz="4" w:space="0" w:color="000000"/>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25</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250</w:t>
            </w:r>
          </w:p>
        </w:tc>
      </w:tr>
      <w:tr w:rsidR="00F77EEB" w:rsidRPr="00F77EEB" w:rsidTr="00835559">
        <w:tc>
          <w:tcPr>
            <w:tcW w:w="271" w:type="pct"/>
            <w:tcBorders>
              <w:left w:val="nil"/>
              <w:right w:val="nil"/>
            </w:tcBorders>
            <w:shd w:val="clear" w:color="auto" w:fill="auto"/>
            <w:vAlign w:val="center"/>
          </w:tcPr>
          <w:p w:rsidR="00263E90" w:rsidRPr="00F77EEB" w:rsidRDefault="00263E90" w:rsidP="00835559">
            <w:pPr>
              <w:jc w:val="center"/>
              <w:rPr>
                <w:rFonts w:ascii="Arial" w:hAnsi="Arial" w:cs="Arial"/>
                <w:sz w:val="22"/>
                <w:szCs w:val="22"/>
              </w:rPr>
            </w:pPr>
            <w:r w:rsidRPr="00F77EEB">
              <w:rPr>
                <w:rFonts w:ascii="Arial" w:hAnsi="Arial" w:cs="Arial"/>
                <w:sz w:val="22"/>
                <w:szCs w:val="22"/>
              </w:rPr>
              <w:t>7</w:t>
            </w:r>
          </w:p>
        </w:tc>
        <w:tc>
          <w:tcPr>
            <w:tcW w:w="1690" w:type="pct"/>
            <w:tcBorders>
              <w:left w:val="nil"/>
              <w:right w:val="nil"/>
            </w:tcBorders>
            <w:shd w:val="clear" w:color="auto" w:fill="auto"/>
            <w:vAlign w:val="center"/>
          </w:tcPr>
          <w:p w:rsidR="00263E90" w:rsidRPr="00F77EEB" w:rsidRDefault="00263E90" w:rsidP="00835559">
            <w:pPr>
              <w:autoSpaceDE w:val="0"/>
              <w:autoSpaceDN w:val="0"/>
              <w:adjustRightInd w:val="0"/>
              <w:rPr>
                <w:rFonts w:ascii="Arial" w:hAnsi="Arial" w:cs="Arial"/>
                <w:sz w:val="22"/>
                <w:szCs w:val="22"/>
                <w:lang w:val="en-GB"/>
              </w:rPr>
            </w:pPr>
            <w:r w:rsidRPr="00F77EEB">
              <w:rPr>
                <w:rFonts w:ascii="Arial" w:hAnsi="Arial" w:cs="Arial"/>
                <w:sz w:val="22"/>
                <w:szCs w:val="22"/>
                <w:lang w:val="en-GB"/>
              </w:rPr>
              <w:t>Mineralna ulja</w:t>
            </w:r>
          </w:p>
        </w:tc>
        <w:tc>
          <w:tcPr>
            <w:tcW w:w="715" w:type="pct"/>
            <w:tcBorders>
              <w:left w:val="nil"/>
              <w:right w:val="nil"/>
            </w:tcBorders>
            <w:shd w:val="clear" w:color="auto" w:fill="auto"/>
            <w:vAlign w:val="center"/>
          </w:tcPr>
          <w:p w:rsidR="00263E90" w:rsidRPr="00F77EEB" w:rsidRDefault="00263E90" w:rsidP="00835559">
            <w:pPr>
              <w:jc w:val="center"/>
              <w:rPr>
                <w:rFonts w:ascii="Arial" w:hAnsi="Arial" w:cs="Arial"/>
                <w:sz w:val="22"/>
                <w:szCs w:val="22"/>
              </w:rPr>
            </w:pPr>
            <w:r w:rsidRPr="00F77EEB">
              <w:rPr>
                <w:rFonts w:ascii="Arial" w:hAnsi="Arial" w:cs="Arial"/>
                <w:sz w:val="22"/>
                <w:szCs w:val="22"/>
                <w:shd w:val="clear" w:color="auto" w:fill="FFFFFF"/>
                <w:lang w:val="en-GB"/>
              </w:rPr>
              <w:t>mg/l</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10,0</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20,0</w:t>
            </w:r>
          </w:p>
        </w:tc>
      </w:tr>
      <w:tr w:rsidR="00263E90" w:rsidRPr="00F77EEB" w:rsidTr="00835559">
        <w:tc>
          <w:tcPr>
            <w:tcW w:w="271" w:type="pct"/>
            <w:tcBorders>
              <w:left w:val="nil"/>
              <w:right w:val="nil"/>
            </w:tcBorders>
            <w:shd w:val="clear" w:color="auto" w:fill="auto"/>
            <w:vAlign w:val="center"/>
          </w:tcPr>
          <w:p w:rsidR="00263E90" w:rsidRPr="00F77EEB" w:rsidRDefault="00263E90" w:rsidP="00835559">
            <w:pPr>
              <w:jc w:val="center"/>
              <w:rPr>
                <w:rFonts w:ascii="Arial" w:hAnsi="Arial" w:cs="Arial"/>
                <w:sz w:val="22"/>
                <w:szCs w:val="22"/>
              </w:rPr>
            </w:pPr>
            <w:r w:rsidRPr="00F77EEB">
              <w:rPr>
                <w:rFonts w:ascii="Arial" w:hAnsi="Arial" w:cs="Arial"/>
                <w:sz w:val="22"/>
                <w:szCs w:val="22"/>
              </w:rPr>
              <w:t>8</w:t>
            </w:r>
          </w:p>
        </w:tc>
        <w:tc>
          <w:tcPr>
            <w:tcW w:w="1690" w:type="pct"/>
            <w:tcBorders>
              <w:left w:val="nil"/>
              <w:right w:val="nil"/>
            </w:tcBorders>
            <w:shd w:val="clear" w:color="auto" w:fill="auto"/>
            <w:vAlign w:val="center"/>
          </w:tcPr>
          <w:p w:rsidR="00263E90" w:rsidRPr="00F77EEB" w:rsidRDefault="00263E90" w:rsidP="00835559">
            <w:pPr>
              <w:autoSpaceDE w:val="0"/>
              <w:autoSpaceDN w:val="0"/>
              <w:adjustRightInd w:val="0"/>
              <w:rPr>
                <w:rFonts w:ascii="Arial" w:hAnsi="Arial" w:cs="Arial"/>
                <w:sz w:val="22"/>
                <w:szCs w:val="22"/>
                <w:lang w:val="en-GB"/>
              </w:rPr>
            </w:pPr>
            <w:r w:rsidRPr="00F77EEB">
              <w:rPr>
                <w:rFonts w:ascii="Arial" w:hAnsi="Arial" w:cs="Arial"/>
                <w:sz w:val="22"/>
                <w:szCs w:val="22"/>
                <w:lang w:val="en-GB"/>
              </w:rPr>
              <w:t>Teškohlapljive lipofilne tvari (ukupna ulja i masti)</w:t>
            </w:r>
          </w:p>
        </w:tc>
        <w:tc>
          <w:tcPr>
            <w:tcW w:w="715" w:type="pct"/>
            <w:tcBorders>
              <w:left w:val="nil"/>
              <w:right w:val="nil"/>
            </w:tcBorders>
            <w:shd w:val="clear" w:color="auto" w:fill="auto"/>
            <w:vAlign w:val="center"/>
          </w:tcPr>
          <w:p w:rsidR="00263E90" w:rsidRPr="00F77EEB" w:rsidRDefault="00263E90" w:rsidP="00835559">
            <w:pPr>
              <w:jc w:val="center"/>
              <w:rPr>
                <w:rFonts w:ascii="Arial" w:hAnsi="Arial" w:cs="Arial"/>
                <w:sz w:val="22"/>
                <w:szCs w:val="22"/>
                <w:shd w:val="clear" w:color="auto" w:fill="FFFFFF"/>
                <w:lang w:val="en-GB"/>
              </w:rPr>
            </w:pPr>
            <w:r w:rsidRPr="00F77EEB">
              <w:rPr>
                <w:rFonts w:ascii="Arial" w:hAnsi="Arial" w:cs="Arial"/>
                <w:sz w:val="22"/>
                <w:szCs w:val="22"/>
                <w:shd w:val="clear" w:color="auto" w:fill="FFFFFF"/>
                <w:lang w:val="en-GB"/>
              </w:rPr>
              <w:t>mg/l</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20</w:t>
            </w:r>
          </w:p>
        </w:tc>
        <w:tc>
          <w:tcPr>
            <w:tcW w:w="1162" w:type="pct"/>
            <w:tcBorders>
              <w:left w:val="nil"/>
              <w:right w:val="nil"/>
            </w:tcBorders>
            <w:shd w:val="clear" w:color="auto" w:fill="auto"/>
            <w:vAlign w:val="center"/>
          </w:tcPr>
          <w:p w:rsidR="00263E90" w:rsidRPr="00F77EEB" w:rsidRDefault="00263E90" w:rsidP="00835559">
            <w:pPr>
              <w:autoSpaceDE w:val="0"/>
              <w:autoSpaceDN w:val="0"/>
              <w:adjustRightInd w:val="0"/>
              <w:jc w:val="center"/>
              <w:rPr>
                <w:rFonts w:ascii="Arial" w:hAnsi="Arial" w:cs="Arial"/>
                <w:sz w:val="22"/>
                <w:szCs w:val="22"/>
                <w:lang w:val="en-GB"/>
              </w:rPr>
            </w:pPr>
            <w:r w:rsidRPr="00F77EEB">
              <w:rPr>
                <w:rFonts w:ascii="Arial" w:hAnsi="Arial" w:cs="Arial"/>
                <w:sz w:val="22"/>
                <w:szCs w:val="22"/>
                <w:lang w:val="en-GB"/>
              </w:rPr>
              <w:t>100</w:t>
            </w:r>
          </w:p>
        </w:tc>
      </w:tr>
    </w:tbl>
    <w:p w:rsidR="006E0E40" w:rsidRPr="00F77EEB" w:rsidRDefault="006E0E40" w:rsidP="006E0E40">
      <w:pPr>
        <w:pStyle w:val="Heading1"/>
        <w:ind w:left="720"/>
        <w:rPr>
          <w:rFonts w:cs="Arial"/>
          <w:sz w:val="22"/>
          <w:szCs w:val="22"/>
        </w:rPr>
      </w:pPr>
    </w:p>
    <w:p w:rsidR="006E0E40" w:rsidRPr="00F77EEB" w:rsidRDefault="006E0E40" w:rsidP="006E0E40">
      <w:pPr>
        <w:rPr>
          <w:rFonts w:ascii="Arial" w:hAnsi="Arial" w:cs="Arial"/>
        </w:rPr>
      </w:pPr>
    </w:p>
    <w:p w:rsidR="00690898" w:rsidRPr="00F77EEB" w:rsidRDefault="00690898" w:rsidP="00360122">
      <w:pPr>
        <w:pStyle w:val="Heading1"/>
        <w:numPr>
          <w:ilvl w:val="0"/>
          <w:numId w:val="4"/>
        </w:numPr>
        <w:rPr>
          <w:rFonts w:cs="Arial"/>
          <w:sz w:val="22"/>
          <w:szCs w:val="22"/>
        </w:rPr>
      </w:pPr>
      <w:r w:rsidRPr="00F77EEB">
        <w:rPr>
          <w:rFonts w:cs="Arial"/>
          <w:sz w:val="22"/>
          <w:szCs w:val="22"/>
        </w:rPr>
        <w:t xml:space="preserve">Mjere ublažavanja negativnih efekata </w:t>
      </w:r>
      <w:proofErr w:type="gramStart"/>
      <w:r w:rsidRPr="00F77EEB">
        <w:rPr>
          <w:rFonts w:cs="Arial"/>
          <w:sz w:val="22"/>
          <w:szCs w:val="22"/>
        </w:rPr>
        <w:t>na</w:t>
      </w:r>
      <w:proofErr w:type="gramEnd"/>
      <w:r w:rsidRPr="00F77EEB">
        <w:rPr>
          <w:rFonts w:cs="Arial"/>
          <w:sz w:val="22"/>
          <w:szCs w:val="22"/>
        </w:rPr>
        <w:t xml:space="preserve"> okoliš i monitoring emisija</w:t>
      </w:r>
      <w:bookmarkEnd w:id="6"/>
      <w:bookmarkEnd w:id="7"/>
      <w:r w:rsidRPr="00F77EEB">
        <w:rPr>
          <w:rFonts w:cs="Arial"/>
          <w:sz w:val="22"/>
          <w:szCs w:val="22"/>
        </w:rPr>
        <w:t xml:space="preserve"> </w:t>
      </w:r>
    </w:p>
    <w:p w:rsidR="00690898" w:rsidRPr="00F77EEB" w:rsidRDefault="00690898" w:rsidP="00690898">
      <w:pPr>
        <w:rPr>
          <w:rFonts w:ascii="Arial" w:hAnsi="Arial" w:cs="Arial"/>
          <w:sz w:val="22"/>
          <w:szCs w:val="22"/>
        </w:rPr>
      </w:pPr>
    </w:p>
    <w:p w:rsidR="00690898" w:rsidRPr="00F77EEB" w:rsidRDefault="00690898" w:rsidP="00250A1F">
      <w:pPr>
        <w:pStyle w:val="BodyText2"/>
        <w:rPr>
          <w:rFonts w:cs="Arial"/>
          <w:szCs w:val="22"/>
          <w:lang w:val="hr-HR"/>
        </w:rPr>
      </w:pPr>
      <w:r w:rsidRPr="00F77EEB">
        <w:rPr>
          <w:rFonts w:cs="Arial"/>
          <w:szCs w:val="22"/>
          <w:lang w:val="hr-HR"/>
        </w:rPr>
        <w:t>Investitor „PLAMA-PUR BH“ d.o.o., Kakanj je duž</w:t>
      </w:r>
      <w:r w:rsidR="003B6C96" w:rsidRPr="00F77EEB">
        <w:rPr>
          <w:rFonts w:cs="Arial"/>
          <w:szCs w:val="22"/>
          <w:lang w:val="hr-HR"/>
        </w:rPr>
        <w:t>a</w:t>
      </w:r>
      <w:r w:rsidRPr="00F77EEB">
        <w:rPr>
          <w:rFonts w:cs="Arial"/>
          <w:szCs w:val="22"/>
          <w:lang w:val="hr-HR"/>
        </w:rPr>
        <w:t>n da tokom rada Tvornice za proizvodnju meke poliuretanske pjene, a u skladu sa dostavljenom dokumentacijom za izdavanje okolinske dozvole, primjeni mjere ublažavanja negativnih efekata na okoliš i monitoring emisija, a posebno:</w:t>
      </w:r>
    </w:p>
    <w:p w:rsidR="00690898" w:rsidRPr="00F77EEB" w:rsidRDefault="00690898" w:rsidP="00250A1F">
      <w:pPr>
        <w:pStyle w:val="Default"/>
        <w:numPr>
          <w:ilvl w:val="0"/>
          <w:numId w:val="12"/>
        </w:numPr>
        <w:jc w:val="both"/>
        <w:rPr>
          <w:color w:val="auto"/>
          <w:sz w:val="22"/>
          <w:szCs w:val="22"/>
        </w:rPr>
      </w:pPr>
      <w:r w:rsidRPr="00F77EEB">
        <w:rPr>
          <w:color w:val="auto"/>
          <w:sz w:val="22"/>
          <w:szCs w:val="22"/>
        </w:rPr>
        <w:t xml:space="preserve">Skladište toluen diizocijanata i poliola je termostatirano tako da sirovine imaju konstantno propisanu temperaturu 21+-10C kako ne bi došlo do prijevremene kristalizacije. </w:t>
      </w:r>
    </w:p>
    <w:p w:rsidR="00690898" w:rsidRPr="00F77EEB" w:rsidRDefault="00690898" w:rsidP="00250A1F">
      <w:pPr>
        <w:pStyle w:val="Default"/>
        <w:numPr>
          <w:ilvl w:val="0"/>
          <w:numId w:val="12"/>
        </w:numPr>
        <w:jc w:val="both"/>
        <w:rPr>
          <w:color w:val="auto"/>
          <w:sz w:val="22"/>
          <w:szCs w:val="22"/>
        </w:rPr>
      </w:pPr>
      <w:r w:rsidRPr="00F77EEB">
        <w:rPr>
          <w:color w:val="auto"/>
          <w:sz w:val="22"/>
          <w:szCs w:val="22"/>
        </w:rPr>
        <w:t>Redovno uklanjati trav</w:t>
      </w:r>
      <w:r w:rsidR="001D08E5" w:rsidRPr="00F77EEB">
        <w:rPr>
          <w:color w:val="auto"/>
          <w:sz w:val="22"/>
          <w:szCs w:val="22"/>
        </w:rPr>
        <w:t>u</w:t>
      </w:r>
      <w:r w:rsidRPr="00F77EEB">
        <w:rPr>
          <w:color w:val="auto"/>
          <w:sz w:val="22"/>
          <w:szCs w:val="22"/>
        </w:rPr>
        <w:t xml:space="preserve"> i ostalo rastinje. Karakteristike sirovina kao i preporuke udruženja za proizvodnju poliuretanske pjene upućuju na redovno uklanjanje rastinja oko skladišta sirovina kao potencijalog izvora nesreće velikih razmjera. </w:t>
      </w:r>
    </w:p>
    <w:p w:rsidR="00690898" w:rsidRPr="00F77EEB" w:rsidRDefault="00690898" w:rsidP="00250A1F">
      <w:pPr>
        <w:pStyle w:val="Default"/>
        <w:numPr>
          <w:ilvl w:val="0"/>
          <w:numId w:val="12"/>
        </w:numPr>
        <w:jc w:val="both"/>
        <w:rPr>
          <w:color w:val="auto"/>
          <w:sz w:val="22"/>
          <w:szCs w:val="22"/>
        </w:rPr>
      </w:pPr>
      <w:r w:rsidRPr="00F77EEB">
        <w:rPr>
          <w:color w:val="auto"/>
          <w:sz w:val="22"/>
          <w:szCs w:val="22"/>
        </w:rPr>
        <w:t xml:space="preserve">Poduzeti mjere prevencije akcidenta za skladište i plan djelovanja u slučaju akcidenta (sastavni dio Plana sprječavanja nesreća velikih razmjera) </w:t>
      </w:r>
    </w:p>
    <w:p w:rsidR="00690898" w:rsidRPr="00F77EEB" w:rsidRDefault="00690898" w:rsidP="00250A1F">
      <w:pPr>
        <w:pStyle w:val="Default"/>
        <w:numPr>
          <w:ilvl w:val="0"/>
          <w:numId w:val="12"/>
        </w:numPr>
        <w:jc w:val="both"/>
        <w:rPr>
          <w:color w:val="auto"/>
          <w:sz w:val="22"/>
          <w:szCs w:val="22"/>
        </w:rPr>
      </w:pPr>
      <w:r w:rsidRPr="00F77EEB">
        <w:rPr>
          <w:color w:val="auto"/>
          <w:sz w:val="22"/>
          <w:szCs w:val="22"/>
        </w:rPr>
        <w:t>U svrhu zaštite prostora oko skladišta u slučaju izlijevanja sirovina obezbjeđen je pijesak</w:t>
      </w:r>
      <w:r w:rsidR="001D08E5" w:rsidRPr="00F77EEB">
        <w:rPr>
          <w:color w:val="auto"/>
          <w:sz w:val="22"/>
          <w:szCs w:val="22"/>
        </w:rPr>
        <w:t xml:space="preserve"> i drugi apsobrensi </w:t>
      </w:r>
      <w:r w:rsidRPr="00F77EEB">
        <w:rPr>
          <w:color w:val="auto"/>
          <w:sz w:val="22"/>
          <w:szCs w:val="22"/>
        </w:rPr>
        <w:t xml:space="preserve"> za sprječavanje oticanja sirovina. </w:t>
      </w:r>
    </w:p>
    <w:p w:rsidR="00690898" w:rsidRPr="00F77EEB" w:rsidRDefault="00690898" w:rsidP="00250A1F">
      <w:pPr>
        <w:pStyle w:val="Default"/>
        <w:numPr>
          <w:ilvl w:val="0"/>
          <w:numId w:val="12"/>
        </w:numPr>
        <w:jc w:val="both"/>
        <w:rPr>
          <w:color w:val="auto"/>
          <w:sz w:val="22"/>
          <w:szCs w:val="22"/>
        </w:rPr>
      </w:pPr>
      <w:r w:rsidRPr="00F77EEB">
        <w:rPr>
          <w:color w:val="auto"/>
          <w:sz w:val="22"/>
          <w:szCs w:val="22"/>
        </w:rPr>
        <w:lastRenderedPageBreak/>
        <w:t xml:space="preserve">U redovnoj eksploataciji, poduzimaju se mjere zabrane bilo kojeg ispuštanja neobrađenih otpadnih voda u okolno tlo. </w:t>
      </w:r>
    </w:p>
    <w:p w:rsidR="00690898" w:rsidRPr="00F77EEB" w:rsidRDefault="00690898" w:rsidP="00250A1F">
      <w:pPr>
        <w:pStyle w:val="Default"/>
        <w:numPr>
          <w:ilvl w:val="0"/>
          <w:numId w:val="12"/>
        </w:numPr>
        <w:jc w:val="both"/>
        <w:rPr>
          <w:color w:val="auto"/>
          <w:sz w:val="22"/>
          <w:szCs w:val="22"/>
        </w:rPr>
      </w:pPr>
      <w:r w:rsidRPr="00F77EEB">
        <w:rPr>
          <w:color w:val="auto"/>
          <w:sz w:val="22"/>
          <w:szCs w:val="22"/>
        </w:rPr>
        <w:t xml:space="preserve">Sa tečnim otpadom iz procesa proizvodnje poliuretanskih pjena se postupa (rukovanje, transport i odlaganje) kao sa opasnim otpadom. </w:t>
      </w:r>
    </w:p>
    <w:p w:rsidR="00690898" w:rsidRPr="00F77EEB" w:rsidRDefault="00690898" w:rsidP="001D08E5">
      <w:pPr>
        <w:pStyle w:val="Default"/>
        <w:ind w:left="360"/>
        <w:rPr>
          <w:color w:val="auto"/>
          <w:sz w:val="22"/>
          <w:szCs w:val="22"/>
        </w:rPr>
      </w:pPr>
      <w:r w:rsidRPr="00F77EEB">
        <w:rPr>
          <w:color w:val="auto"/>
          <w:sz w:val="22"/>
          <w:szCs w:val="22"/>
        </w:rPr>
        <w:t xml:space="preserve">Organizaciono tehničke mjere </w:t>
      </w:r>
    </w:p>
    <w:p w:rsidR="001E54ED" w:rsidRPr="00F77EEB" w:rsidRDefault="00690898" w:rsidP="001D08E5">
      <w:pPr>
        <w:pStyle w:val="Default"/>
        <w:numPr>
          <w:ilvl w:val="0"/>
          <w:numId w:val="12"/>
        </w:numPr>
        <w:jc w:val="both"/>
        <w:rPr>
          <w:color w:val="auto"/>
          <w:sz w:val="22"/>
          <w:szCs w:val="22"/>
        </w:rPr>
      </w:pPr>
      <w:r w:rsidRPr="00F77EEB">
        <w:rPr>
          <w:color w:val="auto"/>
          <w:sz w:val="22"/>
          <w:szCs w:val="22"/>
        </w:rPr>
        <w:t xml:space="preserve">Značajan uzrok zagađivanja okoline, incidenta i akcidenta može biti način upravljanja (organizacija, tehnološka disciplina, održavanje opreme ...). </w:t>
      </w:r>
      <w:r w:rsidR="001D08E5" w:rsidRPr="00F77EEB">
        <w:rPr>
          <w:color w:val="auto"/>
          <w:szCs w:val="22"/>
          <w:lang w:val="hr-HR"/>
        </w:rPr>
        <w:t>Investitor „PLAMA-PUR BH“ d.o.o., Kakanj</w:t>
      </w:r>
      <w:r w:rsidR="001D08E5" w:rsidRPr="00F77EEB">
        <w:rPr>
          <w:color w:val="auto"/>
          <w:sz w:val="22"/>
          <w:szCs w:val="22"/>
        </w:rPr>
        <w:t xml:space="preserve"> </w:t>
      </w:r>
      <w:r w:rsidRPr="00F77EEB">
        <w:rPr>
          <w:color w:val="auto"/>
          <w:sz w:val="22"/>
          <w:szCs w:val="22"/>
        </w:rPr>
        <w:t xml:space="preserve">ima uređenu praksu realizacije procesa rada i implementiran sistem upravljanja u određenom stepenu. </w:t>
      </w:r>
    </w:p>
    <w:p w:rsidR="000E195F" w:rsidRPr="00F77EEB" w:rsidRDefault="000E195F" w:rsidP="000E195F">
      <w:pPr>
        <w:pStyle w:val="Default"/>
        <w:ind w:left="720"/>
        <w:rPr>
          <w:color w:val="auto"/>
          <w:sz w:val="22"/>
          <w:szCs w:val="22"/>
        </w:rPr>
      </w:pPr>
    </w:p>
    <w:p w:rsidR="00690898" w:rsidRPr="00F77EEB" w:rsidRDefault="00360122" w:rsidP="00690898">
      <w:pPr>
        <w:pStyle w:val="Heading2"/>
        <w:ind w:firstLine="426"/>
        <w:jc w:val="both"/>
        <w:rPr>
          <w:rFonts w:cs="Arial"/>
          <w:sz w:val="22"/>
          <w:szCs w:val="22"/>
        </w:rPr>
      </w:pPr>
      <w:bookmarkStart w:id="8" w:name="_Toc320171217"/>
      <w:bookmarkStart w:id="9" w:name="_Toc320171505"/>
      <w:r w:rsidRPr="00F77EEB">
        <w:rPr>
          <w:rFonts w:cs="Arial"/>
          <w:sz w:val="22"/>
          <w:szCs w:val="22"/>
        </w:rPr>
        <w:t>6.1</w:t>
      </w:r>
      <w:r w:rsidR="00690898" w:rsidRPr="00F77EEB">
        <w:rPr>
          <w:rFonts w:cs="Arial"/>
          <w:sz w:val="22"/>
          <w:szCs w:val="22"/>
        </w:rPr>
        <w:t>. Monitoring</w:t>
      </w:r>
      <w:bookmarkEnd w:id="8"/>
      <w:bookmarkEnd w:id="9"/>
      <w:r w:rsidR="00690898" w:rsidRPr="00F77EEB">
        <w:rPr>
          <w:rFonts w:cs="Arial"/>
          <w:sz w:val="22"/>
          <w:szCs w:val="22"/>
        </w:rPr>
        <w:t xml:space="preserve"> </w:t>
      </w:r>
    </w:p>
    <w:p w:rsidR="00690898" w:rsidRPr="00F77EEB" w:rsidRDefault="00690898" w:rsidP="00690898">
      <w:pPr>
        <w:pStyle w:val="Default"/>
        <w:jc w:val="both"/>
        <w:rPr>
          <w:color w:val="auto"/>
          <w:sz w:val="22"/>
          <w:szCs w:val="22"/>
        </w:rPr>
      </w:pPr>
    </w:p>
    <w:p w:rsidR="00690898" w:rsidRPr="00F77EEB" w:rsidRDefault="00690898" w:rsidP="00250A1F">
      <w:pPr>
        <w:pStyle w:val="Default"/>
        <w:ind w:firstLine="426"/>
        <w:jc w:val="both"/>
        <w:rPr>
          <w:color w:val="auto"/>
          <w:sz w:val="22"/>
          <w:szCs w:val="22"/>
        </w:rPr>
      </w:pPr>
      <w:r w:rsidRPr="00F77EEB">
        <w:rPr>
          <w:color w:val="auto"/>
          <w:sz w:val="22"/>
          <w:szCs w:val="22"/>
        </w:rPr>
        <w:t>Izvršeno je mjerenje emisije u zrak i komfora radne sredine gdje je uklj</w:t>
      </w:r>
      <w:r w:rsidR="001E54ED" w:rsidRPr="00F77EEB">
        <w:rPr>
          <w:color w:val="auto"/>
          <w:sz w:val="22"/>
          <w:szCs w:val="22"/>
        </w:rPr>
        <w:t>uč</w:t>
      </w:r>
      <w:r w:rsidRPr="00F77EEB">
        <w:rPr>
          <w:color w:val="auto"/>
          <w:sz w:val="22"/>
          <w:szCs w:val="22"/>
        </w:rPr>
        <w:t xml:space="preserve">eno mjernje mikroklimatskih uvjeta, intenzitet buke, intenzitet osvjetljenosti, količina prašine, vibracije  izvršeno je u skladu sa važećim propisima i standardima za ovakvu vrstu monitoringa. </w:t>
      </w:r>
    </w:p>
    <w:p w:rsidR="00690898" w:rsidRPr="00F77EEB" w:rsidRDefault="00690898" w:rsidP="00250A1F">
      <w:pPr>
        <w:pStyle w:val="Default"/>
        <w:tabs>
          <w:tab w:val="left" w:pos="3600"/>
        </w:tabs>
        <w:jc w:val="both"/>
        <w:rPr>
          <w:color w:val="auto"/>
          <w:sz w:val="22"/>
          <w:szCs w:val="22"/>
        </w:rPr>
      </w:pPr>
      <w:r w:rsidRPr="00F77EEB">
        <w:rPr>
          <w:color w:val="auto"/>
          <w:sz w:val="22"/>
          <w:szCs w:val="22"/>
        </w:rPr>
        <w:tab/>
      </w:r>
    </w:p>
    <w:p w:rsidR="00690898" w:rsidRPr="00F77EEB" w:rsidRDefault="00690898" w:rsidP="00250A1F">
      <w:pPr>
        <w:autoSpaceDE w:val="0"/>
        <w:autoSpaceDN w:val="0"/>
        <w:adjustRightInd w:val="0"/>
        <w:ind w:firstLine="426"/>
        <w:jc w:val="both"/>
        <w:rPr>
          <w:rFonts w:ascii="Arial" w:hAnsi="Arial" w:cs="Arial"/>
          <w:sz w:val="22"/>
          <w:szCs w:val="22"/>
          <w:lang w:val="bs-Latn-BA" w:eastAsia="bs-Latn-BA"/>
        </w:rPr>
      </w:pPr>
      <w:r w:rsidRPr="00F77EEB">
        <w:rPr>
          <w:rFonts w:ascii="Arial" w:hAnsi="Arial" w:cs="Arial"/>
          <w:sz w:val="22"/>
          <w:szCs w:val="22"/>
          <w:lang w:val="bs-Latn-BA" w:eastAsia="bs-Latn-BA"/>
        </w:rPr>
        <w:t xml:space="preserve">Vlasnik sakuplja otpad selektivno u skladu sa potrebom budućeg tretmana. Otpadni materijal se sortira po vrstama i tretira se na adekvatan način. Redovni otpad odvozi se putem gradskog komunalnog poduzeća sa kojim postoji zaključen odgovarajući ugovor . Ostali otpad, u skladu sa propisima odlože na odgovarajućim deponijima otpada dok se prijevoz biti organizira od strane vlasnika postrojenja vlastitim prijevoznim sredstvima ili putem ugovorenih vanjskih usluga. </w:t>
      </w:r>
      <w:r w:rsidR="00211B59" w:rsidRPr="00F77EEB">
        <w:rPr>
          <w:rFonts w:ascii="Arial" w:hAnsi="Arial" w:cs="Arial"/>
          <w:sz w:val="22"/>
          <w:szCs w:val="22"/>
          <w:lang w:val="bs-Latn-BA" w:eastAsia="bs-Latn-BA"/>
        </w:rPr>
        <w:t>Investitor „PLAMA-PUR BH“ d.o.o., Kakanj</w:t>
      </w:r>
      <w:r w:rsidRPr="00F77EEB">
        <w:rPr>
          <w:rFonts w:ascii="Arial" w:hAnsi="Arial" w:cs="Arial"/>
          <w:sz w:val="22"/>
          <w:szCs w:val="22"/>
          <w:lang w:val="bs-Latn-BA" w:eastAsia="bs-Latn-BA"/>
        </w:rPr>
        <w:t xml:space="preserve"> je sklopi</w:t>
      </w:r>
      <w:r w:rsidR="00211B59" w:rsidRPr="00F77EEB">
        <w:rPr>
          <w:rFonts w:ascii="Arial" w:hAnsi="Arial" w:cs="Arial"/>
          <w:sz w:val="22"/>
          <w:szCs w:val="22"/>
          <w:lang w:val="bs-Latn-BA" w:eastAsia="bs-Latn-BA"/>
        </w:rPr>
        <w:t>o</w:t>
      </w:r>
      <w:r w:rsidRPr="00F77EEB">
        <w:rPr>
          <w:rFonts w:ascii="Arial" w:hAnsi="Arial" w:cs="Arial"/>
          <w:sz w:val="22"/>
          <w:szCs w:val="22"/>
          <w:lang w:val="bs-Latn-BA" w:eastAsia="bs-Latn-BA"/>
        </w:rPr>
        <w:t xml:space="preserve"> ugovor sa firmom </w:t>
      </w:r>
      <w:r w:rsidR="009967F6" w:rsidRPr="00F77EEB">
        <w:rPr>
          <w:rFonts w:ascii="Arial" w:hAnsi="Arial" w:cs="Arial"/>
          <w:sz w:val="22"/>
          <w:szCs w:val="22"/>
          <w:lang w:val="bs-Latn-BA" w:eastAsia="bs-Latn-BA"/>
        </w:rPr>
        <w:t>D</w:t>
      </w:r>
      <w:r w:rsidR="00211B59" w:rsidRPr="00F77EEB">
        <w:rPr>
          <w:rFonts w:ascii="Arial" w:hAnsi="Arial" w:cs="Arial"/>
          <w:sz w:val="22"/>
          <w:szCs w:val="22"/>
          <w:lang w:val="bs-Latn-BA" w:eastAsia="bs-Latn-BA"/>
        </w:rPr>
        <w:t>elta P</w:t>
      </w:r>
      <w:r w:rsidR="009967F6" w:rsidRPr="00F77EEB">
        <w:rPr>
          <w:rFonts w:ascii="Arial" w:hAnsi="Arial" w:cs="Arial"/>
          <w:sz w:val="22"/>
          <w:szCs w:val="22"/>
          <w:lang w:val="bs-Latn-BA" w:eastAsia="bs-Latn-BA"/>
        </w:rPr>
        <w:t>etrol d</w:t>
      </w:r>
      <w:r w:rsidR="00211B59" w:rsidRPr="00F77EEB">
        <w:rPr>
          <w:rFonts w:ascii="Arial" w:hAnsi="Arial" w:cs="Arial"/>
          <w:sz w:val="22"/>
          <w:szCs w:val="22"/>
          <w:lang w:val="bs-Latn-BA" w:eastAsia="bs-Latn-BA"/>
        </w:rPr>
        <w:t>.</w:t>
      </w:r>
      <w:r w:rsidR="009967F6" w:rsidRPr="00F77EEB">
        <w:rPr>
          <w:rFonts w:ascii="Arial" w:hAnsi="Arial" w:cs="Arial"/>
          <w:sz w:val="22"/>
          <w:szCs w:val="22"/>
          <w:lang w:val="bs-Latn-BA" w:eastAsia="bs-Latn-BA"/>
        </w:rPr>
        <w:t>o</w:t>
      </w:r>
      <w:r w:rsidR="00211B59" w:rsidRPr="00F77EEB">
        <w:rPr>
          <w:rFonts w:ascii="Arial" w:hAnsi="Arial" w:cs="Arial"/>
          <w:sz w:val="22"/>
          <w:szCs w:val="22"/>
          <w:lang w:val="bs-Latn-BA" w:eastAsia="bs-Latn-BA"/>
        </w:rPr>
        <w:t>.</w:t>
      </w:r>
      <w:r w:rsidR="009967F6" w:rsidRPr="00F77EEB">
        <w:rPr>
          <w:rFonts w:ascii="Arial" w:hAnsi="Arial" w:cs="Arial"/>
          <w:sz w:val="22"/>
          <w:szCs w:val="22"/>
          <w:lang w:val="bs-Latn-BA" w:eastAsia="bs-Latn-BA"/>
        </w:rPr>
        <w:t>o</w:t>
      </w:r>
      <w:r w:rsidR="00211B59" w:rsidRPr="00F77EEB">
        <w:rPr>
          <w:rFonts w:ascii="Arial" w:hAnsi="Arial" w:cs="Arial"/>
          <w:sz w:val="22"/>
          <w:szCs w:val="22"/>
          <w:lang w:val="bs-Latn-BA" w:eastAsia="bs-Latn-BA"/>
        </w:rPr>
        <w:t>.</w:t>
      </w:r>
      <w:r w:rsidRPr="00F77EEB">
        <w:rPr>
          <w:rFonts w:ascii="Arial" w:hAnsi="Arial" w:cs="Arial"/>
          <w:sz w:val="22"/>
          <w:szCs w:val="22"/>
          <w:lang w:val="bs-Latn-BA" w:eastAsia="bs-Latn-BA"/>
        </w:rPr>
        <w:t xml:space="preserve"> koja se brine o preuzimanju, skladištenju i </w:t>
      </w:r>
      <w:r w:rsidR="009967F6" w:rsidRPr="00F77EEB">
        <w:rPr>
          <w:rFonts w:ascii="Arial" w:hAnsi="Arial" w:cs="Arial"/>
          <w:sz w:val="22"/>
          <w:szCs w:val="22"/>
          <w:lang w:val="bs-Latn-BA" w:eastAsia="bs-Latn-BA"/>
        </w:rPr>
        <w:t xml:space="preserve">finalnom </w:t>
      </w:r>
      <w:r w:rsidRPr="00F77EEB">
        <w:rPr>
          <w:rFonts w:ascii="Arial" w:hAnsi="Arial" w:cs="Arial"/>
          <w:sz w:val="22"/>
          <w:szCs w:val="22"/>
          <w:lang w:val="bs-Latn-BA" w:eastAsia="bs-Latn-BA"/>
        </w:rPr>
        <w:t xml:space="preserve">zbrinjavanu opasnog otpada. </w:t>
      </w:r>
    </w:p>
    <w:p w:rsidR="00690898" w:rsidRPr="00F77EEB" w:rsidRDefault="00690898" w:rsidP="00690898">
      <w:pPr>
        <w:pStyle w:val="Default"/>
        <w:jc w:val="both"/>
        <w:rPr>
          <w:color w:val="auto"/>
          <w:sz w:val="22"/>
          <w:szCs w:val="22"/>
        </w:rPr>
      </w:pPr>
    </w:p>
    <w:p w:rsidR="00690898" w:rsidRPr="00F77EEB" w:rsidRDefault="00690898" w:rsidP="00250A1F">
      <w:pPr>
        <w:pStyle w:val="Default"/>
        <w:ind w:firstLine="426"/>
        <w:jc w:val="both"/>
        <w:rPr>
          <w:color w:val="auto"/>
          <w:sz w:val="22"/>
          <w:szCs w:val="22"/>
        </w:rPr>
      </w:pPr>
      <w:r w:rsidRPr="00F77EEB">
        <w:rPr>
          <w:color w:val="auto"/>
          <w:sz w:val="22"/>
          <w:szCs w:val="22"/>
        </w:rPr>
        <w:t>Iako se oček</w:t>
      </w:r>
      <w:r w:rsidR="00263E90" w:rsidRPr="00F77EEB">
        <w:rPr>
          <w:color w:val="auto"/>
          <w:sz w:val="22"/>
          <w:szCs w:val="22"/>
        </w:rPr>
        <w:t xml:space="preserve">uje da koncentracija </w:t>
      </w:r>
      <w:r w:rsidR="006B1DF6" w:rsidRPr="00F77EEB">
        <w:rPr>
          <w:color w:val="auto"/>
          <w:sz w:val="22"/>
          <w:szCs w:val="22"/>
        </w:rPr>
        <w:t xml:space="preserve">toluendiizocianata </w:t>
      </w:r>
      <w:r w:rsidRPr="00F77EEB">
        <w:rPr>
          <w:color w:val="auto"/>
          <w:sz w:val="22"/>
          <w:szCs w:val="22"/>
        </w:rPr>
        <w:t xml:space="preserve">neće biti prekoračena sa obzirom na kapacitet i tehnologiju proizvodnje, ali u slučaju da vrijednosti budu prekoračene, biće potrebno propisati dodatne mjere zaštite. </w:t>
      </w:r>
    </w:p>
    <w:p w:rsidR="001E54ED" w:rsidRPr="00F77EEB" w:rsidRDefault="00690898" w:rsidP="006E0E40">
      <w:pPr>
        <w:pStyle w:val="Default"/>
        <w:ind w:firstLine="360"/>
        <w:jc w:val="both"/>
        <w:rPr>
          <w:color w:val="auto"/>
          <w:sz w:val="22"/>
          <w:szCs w:val="22"/>
        </w:rPr>
      </w:pPr>
      <w:r w:rsidRPr="00F77EEB">
        <w:rPr>
          <w:color w:val="auto"/>
          <w:sz w:val="22"/>
          <w:szCs w:val="22"/>
        </w:rPr>
        <w:t xml:space="preserve">Prema </w:t>
      </w:r>
      <w:r w:rsidR="001E54ED" w:rsidRPr="00F77EEB">
        <w:rPr>
          <w:color w:val="auto"/>
          <w:sz w:val="22"/>
          <w:szCs w:val="22"/>
        </w:rPr>
        <w:t>Pravilnik</w:t>
      </w:r>
      <w:r w:rsidR="00211B59" w:rsidRPr="00F77EEB">
        <w:rPr>
          <w:color w:val="auto"/>
          <w:sz w:val="22"/>
          <w:szCs w:val="22"/>
        </w:rPr>
        <w:t>u</w:t>
      </w:r>
      <w:r w:rsidR="001E54ED" w:rsidRPr="00F77EEB">
        <w:rPr>
          <w:color w:val="auto"/>
          <w:sz w:val="22"/>
          <w:szCs w:val="22"/>
        </w:rPr>
        <w:t xml:space="preserve"> o načinu vršenja monitoringa kvaliteta zraka i definiranju vrsta zagađujućih vrsta zagađujućih materija, graničnih vrijednosti i drugih standarda kvaliteta zraka (</w:t>
      </w:r>
      <w:r w:rsidR="00211B59" w:rsidRPr="00F77EEB">
        <w:rPr>
          <w:color w:val="auto"/>
          <w:sz w:val="22"/>
          <w:szCs w:val="22"/>
        </w:rPr>
        <w:t>„</w:t>
      </w:r>
      <w:r w:rsidR="001E54ED" w:rsidRPr="00F77EEB">
        <w:rPr>
          <w:color w:val="auto"/>
          <w:sz w:val="22"/>
          <w:szCs w:val="22"/>
        </w:rPr>
        <w:t xml:space="preserve">Službene </w:t>
      </w:r>
      <w:r w:rsidR="00360122" w:rsidRPr="00F77EEB">
        <w:rPr>
          <w:color w:val="auto"/>
          <w:sz w:val="22"/>
          <w:szCs w:val="22"/>
        </w:rPr>
        <w:t>novine Federacije BiH</w:t>
      </w:r>
      <w:r w:rsidR="00211B59" w:rsidRPr="00F77EEB">
        <w:rPr>
          <w:color w:val="auto"/>
          <w:sz w:val="22"/>
          <w:szCs w:val="22"/>
        </w:rPr>
        <w:t>“</w:t>
      </w:r>
      <w:r w:rsidR="00360122" w:rsidRPr="00F77EEB">
        <w:rPr>
          <w:color w:val="auto"/>
          <w:sz w:val="22"/>
          <w:szCs w:val="22"/>
        </w:rPr>
        <w:t xml:space="preserve"> br</w:t>
      </w:r>
      <w:r w:rsidR="00211B59" w:rsidRPr="00F77EEB">
        <w:rPr>
          <w:color w:val="auto"/>
          <w:sz w:val="22"/>
          <w:szCs w:val="22"/>
        </w:rPr>
        <w:t>.</w:t>
      </w:r>
      <w:r w:rsidR="00360122" w:rsidRPr="00F77EEB">
        <w:rPr>
          <w:color w:val="auto"/>
          <w:sz w:val="22"/>
          <w:szCs w:val="22"/>
        </w:rPr>
        <w:t>: 1/</w:t>
      </w:r>
      <w:r w:rsidR="001E54ED" w:rsidRPr="00F77EEB">
        <w:rPr>
          <w:color w:val="auto"/>
          <w:sz w:val="22"/>
          <w:szCs w:val="22"/>
        </w:rPr>
        <w:t>12</w:t>
      </w:r>
      <w:r w:rsidR="00211B59" w:rsidRPr="00F77EEB">
        <w:rPr>
          <w:color w:val="auto"/>
          <w:sz w:val="22"/>
          <w:szCs w:val="22"/>
        </w:rPr>
        <w:t xml:space="preserve"> i 50/19</w:t>
      </w:r>
      <w:r w:rsidR="001E54ED" w:rsidRPr="00F77EEB">
        <w:rPr>
          <w:color w:val="auto"/>
          <w:sz w:val="22"/>
          <w:szCs w:val="22"/>
        </w:rPr>
        <w:t xml:space="preserve">) </w:t>
      </w:r>
      <w:r w:rsidRPr="00F77EEB">
        <w:rPr>
          <w:color w:val="auto"/>
          <w:sz w:val="22"/>
          <w:szCs w:val="22"/>
        </w:rPr>
        <w:t xml:space="preserve">operator pogona i postrojenja treba osigura provjeru ili praćenje emisije zagađujućih </w:t>
      </w:r>
      <w:r w:rsidR="001E54ED" w:rsidRPr="00F77EEB">
        <w:rPr>
          <w:color w:val="auto"/>
          <w:sz w:val="22"/>
          <w:szCs w:val="22"/>
        </w:rPr>
        <w:t>materija iz postrojenja u zrak</w:t>
      </w:r>
      <w:r w:rsidR="006B1DF6" w:rsidRPr="00F77EEB">
        <w:rPr>
          <w:color w:val="auto"/>
          <w:sz w:val="22"/>
          <w:szCs w:val="22"/>
        </w:rPr>
        <w:t xml:space="preserve"> kako bi doprinjeli što manjem zagađenju zraka cjelokupnog područja općine </w:t>
      </w:r>
      <w:r w:rsidR="00EE45DA" w:rsidRPr="00F77EEB">
        <w:rPr>
          <w:color w:val="auto"/>
          <w:sz w:val="22"/>
          <w:szCs w:val="22"/>
        </w:rPr>
        <w:t>K</w:t>
      </w:r>
      <w:r w:rsidR="006B1DF6" w:rsidRPr="00F77EEB">
        <w:rPr>
          <w:color w:val="auto"/>
          <w:sz w:val="22"/>
          <w:szCs w:val="22"/>
        </w:rPr>
        <w:t xml:space="preserve">akanj i šire, u kojem djeluju u drugi značajni </w:t>
      </w:r>
      <w:r w:rsidR="00211B59" w:rsidRPr="00F77EEB">
        <w:rPr>
          <w:color w:val="auto"/>
          <w:sz w:val="22"/>
          <w:szCs w:val="22"/>
        </w:rPr>
        <w:t>izvori zagađivanja</w:t>
      </w:r>
      <w:r w:rsidR="006B1DF6" w:rsidRPr="00F77EEB">
        <w:rPr>
          <w:color w:val="auto"/>
          <w:sz w:val="22"/>
          <w:szCs w:val="22"/>
        </w:rPr>
        <w:t xml:space="preserve"> i utiču na kvalitet zraka.</w:t>
      </w:r>
    </w:p>
    <w:p w:rsidR="00690898" w:rsidRPr="00F77EEB" w:rsidRDefault="00690898" w:rsidP="001E54ED">
      <w:pPr>
        <w:pStyle w:val="Default"/>
        <w:numPr>
          <w:ilvl w:val="0"/>
          <w:numId w:val="18"/>
        </w:numPr>
        <w:jc w:val="both"/>
        <w:rPr>
          <w:color w:val="auto"/>
          <w:sz w:val="22"/>
          <w:szCs w:val="22"/>
        </w:rPr>
      </w:pPr>
      <w:r w:rsidRPr="00F77EEB">
        <w:rPr>
          <w:color w:val="auto"/>
          <w:sz w:val="22"/>
          <w:szCs w:val="22"/>
        </w:rPr>
        <w:t>Provjera i praćenje emisije se vrše u cilju dokazivanja da postrojenje zadovoljava granične vrijednosti emisije propisane Pravilnikom o graničnim vrijednostima emisije zagađujućih materija u zrak („Službene novine FBiH“ br</w:t>
      </w:r>
      <w:r w:rsidR="00211B59" w:rsidRPr="00F77EEB">
        <w:rPr>
          <w:color w:val="auto"/>
          <w:sz w:val="22"/>
          <w:szCs w:val="22"/>
        </w:rPr>
        <w:t>.</w:t>
      </w:r>
      <w:r w:rsidRPr="00F77EEB">
        <w:rPr>
          <w:color w:val="auto"/>
          <w:sz w:val="22"/>
          <w:szCs w:val="22"/>
        </w:rPr>
        <w:t xml:space="preserve">: 12/05) kao i u cilju dobivanja podataka za izradu katastra emisije, odnosno praćenja kretanja vrijednosti emisija određenog područja. Provjeru emisije vrši se na ispustima gdje su postavljeni ventilatori u proizvodnoj hali i zrionici. </w:t>
      </w:r>
    </w:p>
    <w:p w:rsidR="00690898" w:rsidRPr="00F77EEB" w:rsidRDefault="00690898" w:rsidP="00690898">
      <w:pPr>
        <w:pStyle w:val="Default"/>
        <w:numPr>
          <w:ilvl w:val="0"/>
          <w:numId w:val="13"/>
        </w:numPr>
        <w:jc w:val="both"/>
        <w:rPr>
          <w:color w:val="auto"/>
          <w:sz w:val="22"/>
          <w:szCs w:val="22"/>
        </w:rPr>
      </w:pPr>
      <w:r w:rsidRPr="00F77EEB">
        <w:rPr>
          <w:color w:val="auto"/>
          <w:sz w:val="22"/>
          <w:szCs w:val="22"/>
        </w:rPr>
        <w:t xml:space="preserve">Operator je dužan da izvrši periodična/povremena mjerenja emisije i to svake tri godine ukoliko rezultati mjerenje ne upute da se praćenje emisije vrši neprekidno </w:t>
      </w:r>
    </w:p>
    <w:p w:rsidR="00690898" w:rsidRPr="00F77EEB" w:rsidRDefault="00690898" w:rsidP="00690898">
      <w:pPr>
        <w:pStyle w:val="Default"/>
        <w:jc w:val="both"/>
        <w:rPr>
          <w:color w:val="auto"/>
          <w:sz w:val="22"/>
          <w:szCs w:val="22"/>
        </w:rPr>
      </w:pPr>
    </w:p>
    <w:p w:rsidR="00690898" w:rsidRPr="00F77EEB" w:rsidRDefault="00690898" w:rsidP="00250A1F">
      <w:pPr>
        <w:pStyle w:val="Default"/>
        <w:ind w:firstLine="360"/>
        <w:jc w:val="both"/>
        <w:rPr>
          <w:color w:val="auto"/>
          <w:sz w:val="22"/>
          <w:szCs w:val="22"/>
        </w:rPr>
      </w:pPr>
      <w:r w:rsidRPr="00F77EEB">
        <w:rPr>
          <w:color w:val="auto"/>
          <w:sz w:val="22"/>
          <w:szCs w:val="22"/>
        </w:rPr>
        <w:t xml:space="preserve">Operator je dužan vršiti monitoring emisije svih onih zagađujućih materija u ispustu gasova, koje su ograničene prema: </w:t>
      </w:r>
    </w:p>
    <w:p w:rsidR="00690898" w:rsidRPr="00F77EEB" w:rsidRDefault="00690898" w:rsidP="00690898">
      <w:pPr>
        <w:pStyle w:val="Default"/>
        <w:numPr>
          <w:ilvl w:val="0"/>
          <w:numId w:val="13"/>
        </w:numPr>
        <w:jc w:val="both"/>
        <w:rPr>
          <w:color w:val="auto"/>
          <w:sz w:val="22"/>
          <w:szCs w:val="22"/>
        </w:rPr>
      </w:pPr>
      <w:r w:rsidRPr="00F77EEB">
        <w:rPr>
          <w:color w:val="auto"/>
          <w:sz w:val="22"/>
          <w:szCs w:val="22"/>
        </w:rPr>
        <w:t xml:space="preserve">Pravilniku o graničnim vrijednostima emisije zagađujućih materija u zrak </w:t>
      </w:r>
      <w:r w:rsidR="0034148B" w:rsidRPr="00F77EEB">
        <w:rPr>
          <w:color w:val="auto"/>
          <w:sz w:val="22"/>
          <w:szCs w:val="22"/>
        </w:rPr>
        <w:t>(„Službene novine FBiH“, br: 12/05)</w:t>
      </w:r>
      <w:r w:rsidRPr="00F77EEB">
        <w:rPr>
          <w:color w:val="auto"/>
          <w:sz w:val="22"/>
          <w:szCs w:val="22"/>
        </w:rPr>
        <w:t xml:space="preserve">, </w:t>
      </w:r>
    </w:p>
    <w:p w:rsidR="0034148B" w:rsidRPr="00F77EEB" w:rsidRDefault="0034148B" w:rsidP="0034148B">
      <w:pPr>
        <w:pStyle w:val="Default"/>
        <w:numPr>
          <w:ilvl w:val="0"/>
          <w:numId w:val="13"/>
        </w:numPr>
        <w:jc w:val="both"/>
        <w:rPr>
          <w:color w:val="auto"/>
          <w:sz w:val="22"/>
          <w:szCs w:val="22"/>
        </w:rPr>
      </w:pPr>
      <w:r w:rsidRPr="00F77EEB">
        <w:rPr>
          <w:color w:val="auto"/>
          <w:sz w:val="22"/>
          <w:szCs w:val="22"/>
        </w:rPr>
        <w:t>Pravilnik o monitoringu emisija zagađujućih materija u zrak („Službene novine Federacije BiH“, br.: </w:t>
      </w:r>
      <w:r w:rsidR="00135FF3" w:rsidRPr="00F77EEB">
        <w:rPr>
          <w:color w:val="auto"/>
        </w:rPr>
        <w:fldChar w:fldCharType="begin"/>
      </w:r>
      <w:r w:rsidR="00135FF3" w:rsidRPr="00F77EEB">
        <w:rPr>
          <w:color w:val="auto"/>
        </w:rPr>
        <w:instrText xml:space="preserve"> HYPERLINK "ht</w:instrText>
      </w:r>
      <w:r w:rsidR="00135FF3" w:rsidRPr="00F77EEB">
        <w:rPr>
          <w:color w:val="auto"/>
        </w:rPr>
        <w:instrText xml:space="preserve">tps://www.fmoit.gov.ba/upload/file/2020/2_Pravilnik%20o%20monitoringu%20emisija%20zaga%C4%91uju%C4%87ih%20materija%20u%20zrak%20(Slu%C5%BEbene%20novine%20Federacije%20BiH_%20br_9_14).pdf" </w:instrText>
      </w:r>
      <w:r w:rsidR="00135FF3" w:rsidRPr="00F77EEB">
        <w:rPr>
          <w:color w:val="auto"/>
        </w:rPr>
        <w:fldChar w:fldCharType="separate"/>
      </w:r>
      <w:r w:rsidRPr="00F77EEB">
        <w:rPr>
          <w:color w:val="auto"/>
          <w:sz w:val="22"/>
          <w:szCs w:val="22"/>
        </w:rPr>
        <w:t>9/14</w:t>
      </w:r>
      <w:r w:rsidR="00135FF3" w:rsidRPr="00F77EEB">
        <w:rPr>
          <w:color w:val="auto"/>
          <w:sz w:val="22"/>
          <w:szCs w:val="22"/>
        </w:rPr>
        <w:fldChar w:fldCharType="end"/>
      </w:r>
      <w:r w:rsidRPr="00F77EEB">
        <w:rPr>
          <w:color w:val="auto"/>
          <w:sz w:val="22"/>
          <w:szCs w:val="22"/>
        </w:rPr>
        <w:t> i 97/17)</w:t>
      </w:r>
    </w:p>
    <w:p w:rsidR="00690898" w:rsidRPr="00F77EEB" w:rsidRDefault="00690898" w:rsidP="00690898">
      <w:pPr>
        <w:pStyle w:val="Default"/>
        <w:numPr>
          <w:ilvl w:val="0"/>
          <w:numId w:val="13"/>
        </w:numPr>
        <w:jc w:val="both"/>
        <w:rPr>
          <w:color w:val="auto"/>
          <w:sz w:val="22"/>
          <w:szCs w:val="22"/>
        </w:rPr>
      </w:pPr>
      <w:r w:rsidRPr="00F77EEB">
        <w:rPr>
          <w:color w:val="auto"/>
          <w:sz w:val="22"/>
          <w:szCs w:val="22"/>
        </w:rPr>
        <w:t>Pravilnik o emisiji isp</w:t>
      </w:r>
      <w:r w:rsidR="0034148B" w:rsidRPr="00F77EEB">
        <w:rPr>
          <w:color w:val="auto"/>
          <w:sz w:val="22"/>
          <w:szCs w:val="22"/>
        </w:rPr>
        <w:t>arljivih organskih jedinjenja („</w:t>
      </w:r>
      <w:r w:rsidRPr="00F77EEB">
        <w:rPr>
          <w:color w:val="auto"/>
          <w:sz w:val="22"/>
          <w:szCs w:val="22"/>
        </w:rPr>
        <w:t>Službene novine FBiH” br</w:t>
      </w:r>
      <w:r w:rsidR="0034148B" w:rsidRPr="00F77EEB">
        <w:rPr>
          <w:color w:val="auto"/>
          <w:sz w:val="22"/>
          <w:szCs w:val="22"/>
        </w:rPr>
        <w:t>.</w:t>
      </w:r>
      <w:r w:rsidRPr="00F77EEB">
        <w:rPr>
          <w:color w:val="auto"/>
          <w:sz w:val="22"/>
          <w:szCs w:val="22"/>
        </w:rPr>
        <w:t>: 12/05)</w:t>
      </w:r>
      <w:r w:rsidR="004A3FC5" w:rsidRPr="00F77EEB">
        <w:rPr>
          <w:color w:val="auto"/>
          <w:sz w:val="22"/>
          <w:szCs w:val="22"/>
        </w:rPr>
        <w:t>.</w:t>
      </w:r>
    </w:p>
    <w:p w:rsidR="00360122" w:rsidRPr="00F77EEB" w:rsidRDefault="00360122" w:rsidP="004A3FC5">
      <w:pPr>
        <w:pStyle w:val="Default"/>
        <w:numPr>
          <w:ilvl w:val="0"/>
          <w:numId w:val="13"/>
        </w:numPr>
        <w:jc w:val="both"/>
        <w:rPr>
          <w:color w:val="auto"/>
          <w:sz w:val="22"/>
          <w:szCs w:val="22"/>
        </w:rPr>
      </w:pPr>
      <w:r w:rsidRPr="00F77EEB">
        <w:rPr>
          <w:color w:val="auto"/>
          <w:sz w:val="22"/>
          <w:szCs w:val="22"/>
        </w:rPr>
        <w:t xml:space="preserve">Pravilniko o načinu vršenja monitoringa kvaliteta zraka i definiranju vrsta zagađujućih vrsta zagađujućih materija, graničnih vrijednosti i drugih standarda kvaliteta zraka (Službene </w:t>
      </w:r>
      <w:r w:rsidR="00263E90" w:rsidRPr="00F77EEB">
        <w:rPr>
          <w:color w:val="auto"/>
          <w:sz w:val="22"/>
          <w:szCs w:val="22"/>
        </w:rPr>
        <w:t>novine Federacije BiH broj:</w:t>
      </w:r>
      <w:r w:rsidRPr="00F77EEB">
        <w:rPr>
          <w:color w:val="auto"/>
          <w:sz w:val="22"/>
          <w:szCs w:val="22"/>
        </w:rPr>
        <w:t xml:space="preserve"> 1/12</w:t>
      </w:r>
      <w:r w:rsidR="0034148B" w:rsidRPr="00F77EEB">
        <w:rPr>
          <w:color w:val="auto"/>
          <w:sz w:val="22"/>
          <w:szCs w:val="22"/>
        </w:rPr>
        <w:t xml:space="preserve"> i  i </w:t>
      </w:r>
      <w:hyperlink r:id="rId8" w:history="1">
        <w:r w:rsidR="0034148B" w:rsidRPr="00F77EEB">
          <w:rPr>
            <w:color w:val="auto"/>
            <w:sz w:val="22"/>
            <w:szCs w:val="22"/>
          </w:rPr>
          <w:t>50/19</w:t>
        </w:r>
      </w:hyperlink>
      <w:r w:rsidR="00263E90" w:rsidRPr="00F77EEB">
        <w:rPr>
          <w:color w:val="auto"/>
          <w:sz w:val="22"/>
          <w:szCs w:val="22"/>
        </w:rPr>
        <w:t>)</w:t>
      </w:r>
      <w:r w:rsidR="000E195F" w:rsidRPr="00F77EEB">
        <w:rPr>
          <w:color w:val="auto"/>
          <w:sz w:val="22"/>
          <w:szCs w:val="22"/>
        </w:rPr>
        <w:t>.</w:t>
      </w:r>
    </w:p>
    <w:p w:rsidR="00690898" w:rsidRPr="00F77EEB" w:rsidRDefault="00690898" w:rsidP="004A3FC5">
      <w:pPr>
        <w:pStyle w:val="Default"/>
        <w:numPr>
          <w:ilvl w:val="0"/>
          <w:numId w:val="13"/>
        </w:numPr>
        <w:jc w:val="both"/>
        <w:rPr>
          <w:color w:val="auto"/>
          <w:sz w:val="22"/>
          <w:szCs w:val="22"/>
        </w:rPr>
      </w:pPr>
      <w:r w:rsidRPr="00F77EEB">
        <w:rPr>
          <w:color w:val="auto"/>
          <w:sz w:val="22"/>
          <w:szCs w:val="22"/>
        </w:rPr>
        <w:t>Pravilnik o graničnim vrijednostima emisija u zrak iz postrojenja za sagorijevanje (“Službene novi</w:t>
      </w:r>
      <w:r w:rsidR="0034148B" w:rsidRPr="00F77EEB">
        <w:rPr>
          <w:color w:val="auto"/>
          <w:sz w:val="22"/>
          <w:szCs w:val="22"/>
        </w:rPr>
        <w:t>ne FBiH” broj:  3/13 i 92/17)</w:t>
      </w:r>
    </w:p>
    <w:p w:rsidR="00690898" w:rsidRPr="00F77EEB" w:rsidRDefault="00690898" w:rsidP="00690898">
      <w:pPr>
        <w:pStyle w:val="Default"/>
        <w:numPr>
          <w:ilvl w:val="0"/>
          <w:numId w:val="13"/>
        </w:numPr>
        <w:jc w:val="both"/>
        <w:rPr>
          <w:color w:val="auto"/>
          <w:sz w:val="22"/>
          <w:szCs w:val="22"/>
        </w:rPr>
      </w:pPr>
      <w:r w:rsidRPr="00F77EEB">
        <w:rPr>
          <w:color w:val="auto"/>
          <w:sz w:val="22"/>
          <w:szCs w:val="22"/>
        </w:rPr>
        <w:lastRenderedPageBreak/>
        <w:t xml:space="preserve">Tehnologija kao izvor zagađivanja sa kapacitetom i načinom rada koji je s pretežno promjenjivim uslovima rada mora se uskladiti sa radnim uslovima koji, prema iskustvu, mogu izazvati najveće emisije, znači prilikom aktivni rad postrojenja (pripreme šarži). </w:t>
      </w:r>
    </w:p>
    <w:p w:rsidR="00690898" w:rsidRPr="00F77EEB" w:rsidRDefault="00690898" w:rsidP="004A3FC5">
      <w:pPr>
        <w:pStyle w:val="Default"/>
        <w:numPr>
          <w:ilvl w:val="0"/>
          <w:numId w:val="13"/>
        </w:numPr>
        <w:ind w:left="714" w:hanging="357"/>
        <w:jc w:val="both"/>
        <w:rPr>
          <w:color w:val="auto"/>
          <w:sz w:val="22"/>
          <w:szCs w:val="22"/>
        </w:rPr>
      </w:pPr>
      <w:r w:rsidRPr="00F77EEB">
        <w:rPr>
          <w:color w:val="auto"/>
          <w:sz w:val="22"/>
          <w:szCs w:val="22"/>
        </w:rPr>
        <w:t xml:space="preserve">Kod periodičnog ponavljanja provjere emisije ne moraju se mjeriti koncentracije onih zagađujućih materija za koje se sa sigurnošću može znati na bazi prvog mjerenja da zadovoljavaju granične vrijednosti emisije. </w:t>
      </w:r>
    </w:p>
    <w:p w:rsidR="00690898" w:rsidRPr="00F77EEB" w:rsidRDefault="00690898" w:rsidP="004A3FC5">
      <w:pPr>
        <w:pStyle w:val="Default"/>
        <w:numPr>
          <w:ilvl w:val="0"/>
          <w:numId w:val="13"/>
        </w:numPr>
        <w:ind w:left="714" w:hanging="357"/>
        <w:jc w:val="both"/>
        <w:rPr>
          <w:color w:val="auto"/>
          <w:sz w:val="22"/>
          <w:szCs w:val="22"/>
        </w:rPr>
      </w:pPr>
      <w:r w:rsidRPr="00F77EEB">
        <w:rPr>
          <w:color w:val="auto"/>
          <w:sz w:val="22"/>
          <w:szCs w:val="22"/>
        </w:rPr>
        <w:t xml:space="preserve">Operator je dužan dostaviti izvještaj o rezultatima emisije nadležnom ministarstvu (Federalno ministarstvo okoliša i turizma) </w:t>
      </w:r>
    </w:p>
    <w:p w:rsidR="007117E1" w:rsidRPr="00F77EEB" w:rsidRDefault="00690898" w:rsidP="004A3FC5">
      <w:pPr>
        <w:pStyle w:val="Default"/>
        <w:numPr>
          <w:ilvl w:val="0"/>
          <w:numId w:val="13"/>
        </w:numPr>
        <w:ind w:left="714" w:hanging="357"/>
        <w:jc w:val="both"/>
        <w:rPr>
          <w:color w:val="auto"/>
          <w:sz w:val="22"/>
          <w:szCs w:val="22"/>
        </w:rPr>
      </w:pPr>
      <w:r w:rsidRPr="00F77EEB">
        <w:rPr>
          <w:color w:val="auto"/>
          <w:sz w:val="22"/>
          <w:szCs w:val="22"/>
        </w:rPr>
        <w:t>Mjerenje emisije zagađujućih materija u zrak vršiti će pravno lice registrirano za obavljanje ove djelatnosti i u skladu sa Pravilnik</w:t>
      </w:r>
      <w:r w:rsidR="007117E1" w:rsidRPr="00F77EEB">
        <w:rPr>
          <w:color w:val="auto"/>
          <w:sz w:val="22"/>
          <w:szCs w:val="22"/>
        </w:rPr>
        <w:t>om</w:t>
      </w:r>
      <w:r w:rsidRPr="00F77EEB">
        <w:rPr>
          <w:color w:val="auto"/>
          <w:sz w:val="22"/>
          <w:szCs w:val="22"/>
        </w:rPr>
        <w:t xml:space="preserve"> o </w:t>
      </w:r>
      <w:r w:rsidR="0034148B" w:rsidRPr="00F77EEB">
        <w:rPr>
          <w:color w:val="auto"/>
          <w:sz w:val="22"/>
          <w:szCs w:val="22"/>
        </w:rPr>
        <w:t>monitoringu emisija zagađujućih materija u zrak („Službene novine Federacije BiH“, br.: </w:t>
      </w:r>
      <w:r w:rsidR="00135FF3" w:rsidRPr="00F77EEB">
        <w:rPr>
          <w:color w:val="auto"/>
        </w:rPr>
        <w:fldChar w:fldCharType="begin"/>
      </w:r>
      <w:r w:rsidR="00135FF3" w:rsidRPr="00F77EEB">
        <w:rPr>
          <w:color w:val="auto"/>
        </w:rPr>
        <w:instrText xml:space="preserve"> HYPERLINK "https://www.fmoit.gov.ba/upload/file/2020/2_Pravilnik%20o%20monitoringu%20emisija%20zaga%C4%91uju%C4%87ih%20materija%20u%20zrak%20(Slu%C5%BEbene%20novine%20Federacije%20BiH_%20br_9_14).p</w:instrText>
      </w:r>
      <w:r w:rsidR="00135FF3" w:rsidRPr="00F77EEB">
        <w:rPr>
          <w:color w:val="auto"/>
        </w:rPr>
        <w:instrText xml:space="preserve">df" </w:instrText>
      </w:r>
      <w:r w:rsidR="00135FF3" w:rsidRPr="00F77EEB">
        <w:rPr>
          <w:color w:val="auto"/>
        </w:rPr>
        <w:fldChar w:fldCharType="separate"/>
      </w:r>
      <w:r w:rsidR="0034148B" w:rsidRPr="00F77EEB">
        <w:rPr>
          <w:color w:val="auto"/>
          <w:sz w:val="22"/>
          <w:szCs w:val="22"/>
        </w:rPr>
        <w:t>9/14</w:t>
      </w:r>
      <w:r w:rsidR="00135FF3" w:rsidRPr="00F77EEB">
        <w:rPr>
          <w:color w:val="auto"/>
          <w:sz w:val="22"/>
          <w:szCs w:val="22"/>
        </w:rPr>
        <w:fldChar w:fldCharType="end"/>
      </w:r>
      <w:r w:rsidR="0034148B" w:rsidRPr="00F77EEB">
        <w:rPr>
          <w:color w:val="auto"/>
          <w:sz w:val="22"/>
          <w:szCs w:val="22"/>
        </w:rPr>
        <w:t> i 97/17)</w:t>
      </w:r>
    </w:p>
    <w:p w:rsidR="00AC6B48" w:rsidRPr="00F77EEB" w:rsidRDefault="00690898" w:rsidP="00AC6B48">
      <w:pPr>
        <w:pStyle w:val="Default"/>
        <w:numPr>
          <w:ilvl w:val="0"/>
          <w:numId w:val="13"/>
        </w:numPr>
        <w:ind w:left="714" w:hanging="357"/>
        <w:jc w:val="both"/>
        <w:rPr>
          <w:color w:val="auto"/>
          <w:sz w:val="22"/>
          <w:szCs w:val="22"/>
        </w:rPr>
      </w:pPr>
      <w:r w:rsidRPr="00F77EEB">
        <w:rPr>
          <w:color w:val="auto"/>
          <w:sz w:val="22"/>
          <w:szCs w:val="22"/>
        </w:rPr>
        <w:t>Dosadašnja praksa upućuje na to da u Bosni i Hercegovini nema akreditovane laboratorije za mjerenje emisi</w:t>
      </w:r>
      <w:r w:rsidR="00A44E4B" w:rsidRPr="00F77EEB">
        <w:rPr>
          <w:color w:val="auto"/>
          <w:sz w:val="22"/>
          <w:szCs w:val="22"/>
        </w:rPr>
        <w:t>j</w:t>
      </w:r>
      <w:r w:rsidRPr="00F77EEB">
        <w:rPr>
          <w:color w:val="auto"/>
          <w:sz w:val="22"/>
          <w:szCs w:val="22"/>
        </w:rPr>
        <w:t xml:space="preserve">a u zrak za specifične zagađujuće materije (organske polutante – toluendiizocianat i amine) koje mogu nastati u procesu proizvodnje poliuretanskih pjena. </w:t>
      </w:r>
      <w:r w:rsidR="00AC6B48" w:rsidRPr="00F77EEB">
        <w:rPr>
          <w:color w:val="auto"/>
          <w:sz w:val="22"/>
          <w:szCs w:val="22"/>
        </w:rPr>
        <w:t>U skladu sa Pravilnikom o monitoringu emisija zagađujućih materija u zrak („Službene novine Federacije BiH“, br.: </w:t>
      </w:r>
      <w:r w:rsidR="00135FF3" w:rsidRPr="00F77EEB">
        <w:rPr>
          <w:color w:val="auto"/>
        </w:rPr>
        <w:fldChar w:fldCharType="begin"/>
      </w:r>
      <w:r w:rsidR="00135FF3" w:rsidRPr="00F77EEB">
        <w:rPr>
          <w:color w:val="auto"/>
        </w:rPr>
        <w:instrText xml:space="preserve"> HYPERLINK "https://www.fmoit.gov.ba/upload/file/2020/2_Pravilnik%20o%20monitoringu%20emisija%20zaga%C4%91uju%C4%87ih%20materija%20u%20zrak%20(Slu%C5%BEbene%20novine%20Federacije%20BiH_%20br_9_14).pdf" </w:instrText>
      </w:r>
      <w:r w:rsidR="00135FF3" w:rsidRPr="00F77EEB">
        <w:rPr>
          <w:color w:val="auto"/>
        </w:rPr>
        <w:fldChar w:fldCharType="separate"/>
      </w:r>
      <w:r w:rsidR="00AC6B48" w:rsidRPr="00F77EEB">
        <w:rPr>
          <w:color w:val="auto"/>
          <w:sz w:val="22"/>
          <w:szCs w:val="22"/>
        </w:rPr>
        <w:t>9/14</w:t>
      </w:r>
      <w:r w:rsidR="00135FF3" w:rsidRPr="00F77EEB">
        <w:rPr>
          <w:color w:val="auto"/>
          <w:sz w:val="22"/>
          <w:szCs w:val="22"/>
        </w:rPr>
        <w:fldChar w:fldCharType="end"/>
      </w:r>
      <w:r w:rsidR="00AC6B48" w:rsidRPr="00F77EEB">
        <w:rPr>
          <w:color w:val="auto"/>
          <w:sz w:val="22"/>
          <w:szCs w:val="22"/>
        </w:rPr>
        <w:t> i 97/17) u tom slučaju monitoring može vršiti i inostrana laboratorija, sa odgovarajućom akreditacijom izdatom od akreditacijskog tijela zemlje potpisnice evropskih i međunarodnih organizacija za akreditiranje</w:t>
      </w:r>
      <w:r w:rsidR="001156E0" w:rsidRPr="00F77EEB">
        <w:rPr>
          <w:color w:val="auto"/>
          <w:sz w:val="22"/>
          <w:szCs w:val="22"/>
        </w:rPr>
        <w:t xml:space="preserve">, kao i iz zemljesa kojom </w:t>
      </w:r>
      <w:r w:rsidR="00AC6B48" w:rsidRPr="00F77EEB">
        <w:rPr>
          <w:color w:val="auto"/>
          <w:sz w:val="22"/>
          <w:szCs w:val="22"/>
        </w:rPr>
        <w:t>Institut za akredit</w:t>
      </w:r>
      <w:r w:rsidR="001156E0" w:rsidRPr="00F77EEB">
        <w:rPr>
          <w:color w:val="auto"/>
          <w:sz w:val="22"/>
          <w:szCs w:val="22"/>
        </w:rPr>
        <w:t>iranje</w:t>
      </w:r>
      <w:r w:rsidR="00AC6B48" w:rsidRPr="00F77EEB">
        <w:rPr>
          <w:color w:val="auto"/>
          <w:sz w:val="22"/>
          <w:szCs w:val="22"/>
        </w:rPr>
        <w:t xml:space="preserve"> Bosne i Hercegovine ima potpisanu bilateralnu saradnju, a koja je upisana u registar ispitnih laboratorija</w:t>
      </w:r>
    </w:p>
    <w:p w:rsidR="00690898" w:rsidRPr="00F77EEB" w:rsidRDefault="00690898" w:rsidP="00360122">
      <w:pPr>
        <w:pStyle w:val="Default"/>
        <w:numPr>
          <w:ilvl w:val="0"/>
          <w:numId w:val="13"/>
        </w:numPr>
        <w:ind w:left="714" w:hanging="357"/>
        <w:jc w:val="both"/>
        <w:rPr>
          <w:color w:val="auto"/>
          <w:sz w:val="22"/>
          <w:szCs w:val="22"/>
        </w:rPr>
      </w:pPr>
      <w:r w:rsidRPr="00F77EEB">
        <w:rPr>
          <w:color w:val="auto"/>
          <w:sz w:val="22"/>
          <w:szCs w:val="22"/>
        </w:rPr>
        <w:t xml:space="preserve">Voditi evidenciju o tečnom otpadu koji nastaje u procesu proizvodnje jer se otpad od izocijanata u </w:t>
      </w:r>
      <w:r w:rsidRPr="00F77EEB">
        <w:rPr>
          <w:iCs/>
          <w:color w:val="auto"/>
          <w:sz w:val="22"/>
          <w:szCs w:val="22"/>
        </w:rPr>
        <w:t>Pravilniku o kategorijama otpada sa listama</w:t>
      </w:r>
      <w:r w:rsidRPr="00F77EEB">
        <w:rPr>
          <w:i/>
          <w:iCs/>
          <w:color w:val="auto"/>
          <w:sz w:val="22"/>
          <w:szCs w:val="22"/>
        </w:rPr>
        <w:t xml:space="preserve"> </w:t>
      </w:r>
      <w:r w:rsidRPr="00F77EEB">
        <w:rPr>
          <w:color w:val="auto"/>
          <w:sz w:val="22"/>
          <w:szCs w:val="22"/>
        </w:rPr>
        <w:t>(„Službene novine F</w:t>
      </w:r>
      <w:r w:rsidR="00263E90" w:rsidRPr="00F77EEB">
        <w:rPr>
          <w:color w:val="auto"/>
          <w:sz w:val="22"/>
          <w:szCs w:val="22"/>
        </w:rPr>
        <w:t xml:space="preserve">ederacije </w:t>
      </w:r>
      <w:r w:rsidRPr="00F77EEB">
        <w:rPr>
          <w:color w:val="auto"/>
          <w:sz w:val="22"/>
          <w:szCs w:val="22"/>
        </w:rPr>
        <w:t xml:space="preserve">BiH“ broj: 9/05) nalazi u Katalogu otpada pod šifrom 08 05 01 i predstavlja opasni otpad. </w:t>
      </w:r>
    </w:p>
    <w:p w:rsidR="00690898" w:rsidRPr="00F77EEB" w:rsidRDefault="00690898" w:rsidP="009E3D59">
      <w:pPr>
        <w:pStyle w:val="BodyText2"/>
        <w:numPr>
          <w:ilvl w:val="0"/>
          <w:numId w:val="13"/>
        </w:numPr>
        <w:rPr>
          <w:rFonts w:cs="Arial"/>
          <w:szCs w:val="22"/>
        </w:rPr>
      </w:pPr>
      <w:r w:rsidRPr="00F77EEB">
        <w:rPr>
          <w:rFonts w:cs="Arial"/>
          <w:szCs w:val="22"/>
        </w:rPr>
        <w:t xml:space="preserve">Postupati u skladu </w:t>
      </w:r>
      <w:proofErr w:type="gramStart"/>
      <w:r w:rsidRPr="00F77EEB">
        <w:rPr>
          <w:rFonts w:cs="Arial"/>
          <w:szCs w:val="22"/>
        </w:rPr>
        <w:t>sa</w:t>
      </w:r>
      <w:proofErr w:type="gramEnd"/>
      <w:r w:rsidRPr="00F77EEB">
        <w:rPr>
          <w:rFonts w:cs="Arial"/>
          <w:szCs w:val="22"/>
        </w:rPr>
        <w:t xml:space="preserve"> Planom sprečavanja nesreća velikih razmjera i redovno vršiti izvještavanja.</w:t>
      </w:r>
    </w:p>
    <w:p w:rsidR="00690898" w:rsidRPr="00F77EEB" w:rsidRDefault="00690898" w:rsidP="00690898">
      <w:pPr>
        <w:pStyle w:val="BodyText2"/>
        <w:rPr>
          <w:rFonts w:cs="Arial"/>
          <w:szCs w:val="22"/>
          <w:lang w:val="hr-HR"/>
        </w:rPr>
      </w:pPr>
    </w:p>
    <w:p w:rsidR="00690898" w:rsidRPr="00F77EEB" w:rsidRDefault="00690898" w:rsidP="00690898">
      <w:pPr>
        <w:pStyle w:val="Heading1"/>
        <w:numPr>
          <w:ilvl w:val="0"/>
          <w:numId w:val="4"/>
        </w:numPr>
        <w:rPr>
          <w:rFonts w:cs="Arial"/>
          <w:sz w:val="22"/>
          <w:szCs w:val="22"/>
        </w:rPr>
      </w:pPr>
      <w:bookmarkStart w:id="10" w:name="_Toc320171221"/>
      <w:bookmarkStart w:id="11" w:name="_Toc320171509"/>
      <w:r w:rsidRPr="00F77EEB">
        <w:rPr>
          <w:rFonts w:cs="Arial"/>
          <w:sz w:val="22"/>
          <w:szCs w:val="22"/>
        </w:rPr>
        <w:t>Rok važenja okolinske dozvole</w:t>
      </w:r>
      <w:bookmarkEnd w:id="10"/>
      <w:bookmarkEnd w:id="11"/>
    </w:p>
    <w:p w:rsidR="00120910" w:rsidRPr="00F77EEB" w:rsidRDefault="00120910" w:rsidP="00690898">
      <w:pPr>
        <w:pStyle w:val="BodyText2"/>
        <w:ind w:left="720"/>
        <w:rPr>
          <w:rFonts w:cs="Arial"/>
          <w:szCs w:val="22"/>
          <w:lang w:val="hr-HR"/>
        </w:rPr>
      </w:pPr>
    </w:p>
    <w:p w:rsidR="00690898" w:rsidRPr="00F77EEB" w:rsidRDefault="00690898" w:rsidP="00690898">
      <w:pPr>
        <w:pStyle w:val="BodyText2"/>
        <w:ind w:left="720"/>
        <w:rPr>
          <w:rFonts w:cs="Arial"/>
          <w:szCs w:val="22"/>
          <w:lang w:val="hr-HR"/>
        </w:rPr>
      </w:pPr>
      <w:r w:rsidRPr="00F77EEB">
        <w:rPr>
          <w:rFonts w:cs="Arial"/>
          <w:szCs w:val="22"/>
          <w:lang w:val="hr-HR"/>
        </w:rPr>
        <w:t xml:space="preserve">Okolišna dozvola se daje na period od 5 godina od dana uručenja ovog rješenja. </w:t>
      </w:r>
    </w:p>
    <w:p w:rsidR="00690898" w:rsidRPr="00F77EEB" w:rsidRDefault="00690898" w:rsidP="009E3D59">
      <w:pPr>
        <w:pStyle w:val="BodyText2"/>
        <w:rPr>
          <w:rFonts w:cs="Arial"/>
          <w:b/>
          <w:szCs w:val="22"/>
          <w:lang w:val="hr-HR"/>
        </w:rPr>
      </w:pPr>
    </w:p>
    <w:p w:rsidR="00690898" w:rsidRPr="00F77EEB" w:rsidRDefault="00690898" w:rsidP="00690898">
      <w:pPr>
        <w:pStyle w:val="Heading1"/>
        <w:jc w:val="center"/>
        <w:rPr>
          <w:rStyle w:val="Emphasis"/>
          <w:rFonts w:cs="Arial"/>
          <w:i w:val="0"/>
          <w:iCs w:val="0"/>
          <w:sz w:val="22"/>
          <w:szCs w:val="22"/>
        </w:rPr>
      </w:pPr>
      <w:bookmarkStart w:id="12" w:name="_Toc320171222"/>
      <w:bookmarkStart w:id="13" w:name="_Toc320171510"/>
      <w:r w:rsidRPr="00F77EEB">
        <w:rPr>
          <w:rStyle w:val="Emphasis"/>
          <w:rFonts w:cs="Arial"/>
          <w:i w:val="0"/>
          <w:iCs w:val="0"/>
          <w:sz w:val="22"/>
          <w:szCs w:val="22"/>
        </w:rPr>
        <w:t xml:space="preserve">O </w:t>
      </w:r>
      <w:bookmarkEnd w:id="12"/>
      <w:bookmarkEnd w:id="13"/>
      <w:r w:rsidRPr="00F77EEB">
        <w:rPr>
          <w:rStyle w:val="Emphasis"/>
          <w:rFonts w:cs="Arial"/>
          <w:i w:val="0"/>
          <w:iCs w:val="0"/>
          <w:sz w:val="22"/>
          <w:szCs w:val="22"/>
        </w:rPr>
        <w:t xml:space="preserve">b r a z l o ž e </w:t>
      </w:r>
      <w:proofErr w:type="gramStart"/>
      <w:r w:rsidRPr="00F77EEB">
        <w:rPr>
          <w:rStyle w:val="Emphasis"/>
          <w:rFonts w:cs="Arial"/>
          <w:i w:val="0"/>
          <w:iCs w:val="0"/>
          <w:sz w:val="22"/>
          <w:szCs w:val="22"/>
        </w:rPr>
        <w:t>nj</w:t>
      </w:r>
      <w:proofErr w:type="gramEnd"/>
      <w:r w:rsidRPr="00F77EEB">
        <w:rPr>
          <w:rStyle w:val="Emphasis"/>
          <w:rFonts w:cs="Arial"/>
          <w:i w:val="0"/>
          <w:iCs w:val="0"/>
          <w:sz w:val="22"/>
          <w:szCs w:val="22"/>
        </w:rPr>
        <w:t xml:space="preserve"> e</w:t>
      </w:r>
    </w:p>
    <w:p w:rsidR="00690898" w:rsidRPr="00F77EEB" w:rsidRDefault="00690898" w:rsidP="00690898">
      <w:pPr>
        <w:rPr>
          <w:rFonts w:ascii="Arial" w:hAnsi="Arial" w:cs="Arial"/>
          <w:b/>
          <w:sz w:val="22"/>
          <w:szCs w:val="22"/>
          <w:lang w:val="hr-HR"/>
        </w:rPr>
      </w:pPr>
    </w:p>
    <w:p w:rsidR="00690898" w:rsidRPr="00F77EEB" w:rsidRDefault="00690898" w:rsidP="00360122">
      <w:pPr>
        <w:ind w:firstLine="708"/>
        <w:jc w:val="both"/>
        <w:rPr>
          <w:rFonts w:ascii="Arial" w:hAnsi="Arial" w:cs="Arial"/>
          <w:sz w:val="22"/>
          <w:szCs w:val="22"/>
          <w:lang w:val="hr-HR"/>
        </w:rPr>
      </w:pPr>
      <w:r w:rsidRPr="00F77EEB">
        <w:rPr>
          <w:rFonts w:ascii="Arial" w:hAnsi="Arial" w:cs="Arial"/>
          <w:sz w:val="22"/>
          <w:szCs w:val="22"/>
          <w:lang w:val="hr-HR"/>
        </w:rPr>
        <w:t>Investitor „PLAMA-PUR BH“ d.o.o., Kakanj, dostavio je Federalnom ministarstvu okoliša  i turizma zahtjev</w:t>
      </w:r>
      <w:r w:rsidR="00E2367E" w:rsidRPr="00F77EEB">
        <w:rPr>
          <w:rFonts w:ascii="Arial" w:hAnsi="Arial" w:cs="Arial"/>
          <w:sz w:val="22"/>
          <w:szCs w:val="22"/>
          <w:lang w:val="hr-HR"/>
        </w:rPr>
        <w:t xml:space="preserve"> broj:</w:t>
      </w:r>
      <w:r w:rsidRPr="00F77EEB">
        <w:rPr>
          <w:rFonts w:ascii="Arial" w:hAnsi="Arial" w:cs="Arial"/>
          <w:sz w:val="22"/>
          <w:szCs w:val="22"/>
          <w:lang w:val="hr-HR"/>
        </w:rPr>
        <w:t xml:space="preserve"> </w:t>
      </w:r>
      <w:r w:rsidR="00E2367E" w:rsidRPr="00F77EEB">
        <w:rPr>
          <w:rFonts w:ascii="Arial" w:hAnsi="Arial" w:cs="Arial"/>
          <w:sz w:val="22"/>
          <w:szCs w:val="22"/>
          <w:lang w:val="hr-HR"/>
        </w:rPr>
        <w:t>UPI-05/2-02-19-5-123/20 SN</w:t>
      </w:r>
      <w:r w:rsidR="00E2367E" w:rsidRPr="00F77EEB">
        <w:rPr>
          <w:rFonts w:ascii="Arial" w:hAnsi="Arial" w:cs="Arial"/>
          <w:sz w:val="22"/>
          <w:szCs w:val="22"/>
          <w:lang w:val="hr-HR"/>
        </w:rPr>
        <w:t xml:space="preserve"> </w:t>
      </w:r>
      <w:r w:rsidRPr="00F77EEB">
        <w:rPr>
          <w:rFonts w:ascii="Arial" w:hAnsi="Arial" w:cs="Arial"/>
          <w:sz w:val="22"/>
          <w:szCs w:val="22"/>
          <w:lang w:val="hr-HR"/>
        </w:rPr>
        <w:t xml:space="preserve">od </w:t>
      </w:r>
      <w:r w:rsidR="00E2367E" w:rsidRPr="00F77EEB">
        <w:rPr>
          <w:rFonts w:ascii="Arial" w:hAnsi="Arial" w:cs="Arial"/>
          <w:sz w:val="22"/>
          <w:szCs w:val="22"/>
          <w:lang w:val="hr-HR"/>
        </w:rPr>
        <w:t>20.10.2020. godine</w:t>
      </w:r>
      <w:r w:rsidRPr="00F77EEB">
        <w:rPr>
          <w:rFonts w:ascii="Arial" w:hAnsi="Arial" w:cs="Arial"/>
          <w:sz w:val="22"/>
          <w:szCs w:val="22"/>
          <w:lang w:val="hr-HR"/>
        </w:rPr>
        <w:t xml:space="preserve"> za izdavanje </w:t>
      </w:r>
      <w:r w:rsidR="00F837B9" w:rsidRPr="00F77EEB">
        <w:rPr>
          <w:rFonts w:ascii="Arial" w:hAnsi="Arial" w:cs="Arial"/>
          <w:sz w:val="22"/>
          <w:szCs w:val="22"/>
          <w:lang w:val="hr-HR"/>
        </w:rPr>
        <w:t xml:space="preserve">obnovljene </w:t>
      </w:r>
      <w:r w:rsidRPr="00F77EEB">
        <w:rPr>
          <w:rFonts w:ascii="Arial" w:hAnsi="Arial" w:cs="Arial"/>
          <w:sz w:val="22"/>
          <w:szCs w:val="22"/>
          <w:lang w:val="hr-HR"/>
        </w:rPr>
        <w:t>okolinske dozvoleza Tvornicu za proizvodnju meke poliuretanske pjene koja se nalazi na lokaciji u naselju k.č. br. 151, 152, 153, 154, 155/1 KO Haljinići. Ukupna površina katastarskih čestica iznosi 2096 m</w:t>
      </w:r>
      <w:r w:rsidRPr="00F77EEB">
        <w:rPr>
          <w:rFonts w:ascii="Arial" w:hAnsi="Arial" w:cs="Arial"/>
          <w:sz w:val="22"/>
          <w:szCs w:val="22"/>
          <w:vertAlign w:val="superscript"/>
          <w:lang w:val="hr-HR"/>
        </w:rPr>
        <w:t>2</w:t>
      </w:r>
      <w:r w:rsidRPr="00F77EEB">
        <w:rPr>
          <w:rFonts w:ascii="Arial" w:hAnsi="Arial" w:cs="Arial"/>
          <w:sz w:val="22"/>
          <w:szCs w:val="22"/>
          <w:lang w:val="hr-HR"/>
        </w:rPr>
        <w:t>. Predviđeni kapacitet tvornice meke poliuretanske pjene je</w:t>
      </w:r>
      <w:r w:rsidR="007117E1" w:rsidRPr="00F77EEB">
        <w:rPr>
          <w:rFonts w:ascii="Arial" w:hAnsi="Arial" w:cs="Arial"/>
          <w:sz w:val="22"/>
          <w:szCs w:val="22"/>
          <w:lang w:val="hr-HR"/>
        </w:rPr>
        <w:t xml:space="preserve"> 3</w:t>
      </w:r>
      <w:r w:rsidRPr="00F77EEB">
        <w:rPr>
          <w:rFonts w:ascii="Arial" w:hAnsi="Arial" w:cs="Arial"/>
          <w:sz w:val="22"/>
          <w:szCs w:val="22"/>
          <w:lang w:val="hr-HR"/>
        </w:rPr>
        <w:t>.</w:t>
      </w:r>
      <w:r w:rsidR="007117E1" w:rsidRPr="00F77EEB">
        <w:rPr>
          <w:rFonts w:ascii="Arial" w:hAnsi="Arial" w:cs="Arial"/>
          <w:sz w:val="22"/>
          <w:szCs w:val="22"/>
          <w:lang w:val="hr-HR"/>
        </w:rPr>
        <w:t>0</w:t>
      </w:r>
      <w:r w:rsidRPr="00F77EEB">
        <w:rPr>
          <w:rFonts w:ascii="Arial" w:hAnsi="Arial" w:cs="Arial"/>
          <w:sz w:val="22"/>
          <w:szCs w:val="22"/>
          <w:lang w:val="hr-HR"/>
        </w:rPr>
        <w:t xml:space="preserve">00 tona godišnje. </w:t>
      </w:r>
      <w:r w:rsidR="00ED0F0A">
        <w:rPr>
          <w:rFonts w:ascii="Arial" w:hAnsi="Arial" w:cs="Arial"/>
          <w:sz w:val="22"/>
          <w:szCs w:val="22"/>
          <w:lang w:val="hr-HR"/>
        </w:rPr>
        <w:t xml:space="preserve"> Prema tome, postrojenje spada u kategoriju postrojenja iz </w:t>
      </w:r>
      <w:r w:rsidR="00ED0F0A">
        <w:rPr>
          <w:rFonts w:ascii="Arial" w:hAnsi="Arial" w:cs="Arial"/>
          <w:sz w:val="22"/>
          <w:szCs w:val="22"/>
          <w:lang w:val="hr-HR"/>
        </w:rPr>
        <w:t>čl. 9 i</w:t>
      </w:r>
      <w:r w:rsidR="00ED0F0A" w:rsidRPr="00F77EEB">
        <w:rPr>
          <w:rFonts w:ascii="Arial" w:hAnsi="Arial" w:cs="Arial"/>
          <w:sz w:val="22"/>
          <w:szCs w:val="22"/>
          <w:lang w:val="hr-HR"/>
        </w:rPr>
        <w:t xml:space="preserve"> 10 Pravilnika o pogonima i postrojenjima za koje je obavezna procjena uticaja na okoliš i pogonima i postrojenjima koji mogu biti izgrađeni i pušteni u rad samo ako imaju okolinsku dozvolu (“Službene novine Federacije BiH”, broj: 19/04),</w:t>
      </w:r>
      <w:r w:rsidR="00ED0F0A">
        <w:rPr>
          <w:rFonts w:ascii="Arial" w:hAnsi="Arial" w:cs="Arial"/>
          <w:sz w:val="22"/>
          <w:szCs w:val="22"/>
          <w:lang w:val="hr-HR"/>
        </w:rPr>
        <w:t xml:space="preserve"> tj. onih koje rade sa faktorom rizika i </w:t>
      </w:r>
      <w:bookmarkStart w:id="14" w:name="_GoBack"/>
      <w:bookmarkEnd w:id="14"/>
      <w:r w:rsidR="00ED0F0A">
        <w:rPr>
          <w:rFonts w:ascii="Arial" w:hAnsi="Arial" w:cs="Arial"/>
          <w:sz w:val="22"/>
          <w:szCs w:val="22"/>
          <w:lang w:val="hr-HR"/>
        </w:rPr>
        <w:t>mogu dovesti do nesreća većih razmjera.</w:t>
      </w:r>
    </w:p>
    <w:p w:rsidR="00690898" w:rsidRPr="00F77EEB" w:rsidRDefault="00690898" w:rsidP="00690898">
      <w:pPr>
        <w:pStyle w:val="BodyText2"/>
        <w:rPr>
          <w:rFonts w:cs="Arial"/>
          <w:szCs w:val="22"/>
          <w:lang w:val="hr-HR"/>
        </w:rPr>
      </w:pPr>
    </w:p>
    <w:p w:rsidR="00690898" w:rsidRPr="00F77EEB" w:rsidRDefault="00690898" w:rsidP="00690898">
      <w:pPr>
        <w:pStyle w:val="BodyText2"/>
        <w:rPr>
          <w:rFonts w:cs="Arial"/>
          <w:szCs w:val="22"/>
          <w:lang w:val="hr-HR"/>
        </w:rPr>
      </w:pPr>
      <w:r w:rsidRPr="00F77EEB">
        <w:rPr>
          <w:rFonts w:cs="Arial"/>
          <w:szCs w:val="22"/>
          <w:lang w:val="hr-HR"/>
        </w:rPr>
        <w:t>Uz zahtjev je dostavljena sljedeća dokumentacija:</w:t>
      </w:r>
    </w:p>
    <w:p w:rsidR="00690898" w:rsidRPr="00F77EEB" w:rsidRDefault="00690898" w:rsidP="00690898">
      <w:pPr>
        <w:pStyle w:val="BodyText2"/>
        <w:numPr>
          <w:ilvl w:val="0"/>
          <w:numId w:val="3"/>
        </w:numPr>
        <w:rPr>
          <w:rFonts w:cs="Arial"/>
          <w:szCs w:val="22"/>
          <w:lang w:val="hr-HR"/>
        </w:rPr>
      </w:pPr>
      <w:r w:rsidRPr="00F77EEB">
        <w:rPr>
          <w:rFonts w:cs="Arial"/>
          <w:szCs w:val="22"/>
          <w:lang w:val="hr-HR"/>
        </w:rPr>
        <w:t xml:space="preserve">Ime i adresa operatora, </w:t>
      </w:r>
    </w:p>
    <w:p w:rsidR="00690898" w:rsidRPr="00F77EEB" w:rsidRDefault="00690898" w:rsidP="00690898">
      <w:pPr>
        <w:pStyle w:val="BodyText2"/>
        <w:numPr>
          <w:ilvl w:val="0"/>
          <w:numId w:val="3"/>
        </w:numPr>
        <w:rPr>
          <w:rFonts w:cs="Arial"/>
          <w:szCs w:val="22"/>
          <w:lang w:val="hr-HR"/>
        </w:rPr>
      </w:pPr>
      <w:r w:rsidRPr="00F77EEB">
        <w:rPr>
          <w:rFonts w:cs="Arial"/>
          <w:szCs w:val="22"/>
          <w:lang w:val="hr-HR"/>
        </w:rPr>
        <w:t xml:space="preserve">Pogon i postrojenje za koje se izdaje okolišna dozvola, </w:t>
      </w:r>
    </w:p>
    <w:p w:rsidR="00690898" w:rsidRPr="00F77EEB" w:rsidRDefault="00690898" w:rsidP="00690898">
      <w:pPr>
        <w:pStyle w:val="BodyText2"/>
        <w:numPr>
          <w:ilvl w:val="0"/>
          <w:numId w:val="3"/>
        </w:numPr>
        <w:rPr>
          <w:rFonts w:cs="Arial"/>
          <w:szCs w:val="22"/>
          <w:lang w:val="hr-HR"/>
        </w:rPr>
      </w:pPr>
      <w:r w:rsidRPr="00F77EEB">
        <w:rPr>
          <w:rFonts w:cs="Arial"/>
          <w:szCs w:val="22"/>
          <w:lang w:val="hr-HR"/>
        </w:rPr>
        <w:t xml:space="preserve">Lokacija pogona i postrojenja,  </w:t>
      </w:r>
    </w:p>
    <w:p w:rsidR="00690898" w:rsidRPr="00F77EEB" w:rsidRDefault="00690898" w:rsidP="00690898">
      <w:pPr>
        <w:pStyle w:val="BodyText2"/>
        <w:numPr>
          <w:ilvl w:val="0"/>
          <w:numId w:val="3"/>
        </w:numPr>
        <w:rPr>
          <w:rFonts w:cs="Arial"/>
          <w:szCs w:val="22"/>
          <w:lang w:val="hr-HR"/>
        </w:rPr>
      </w:pPr>
      <w:r w:rsidRPr="00F77EEB">
        <w:rPr>
          <w:rFonts w:cs="Arial"/>
          <w:szCs w:val="22"/>
          <w:lang w:val="hr-HR"/>
        </w:rPr>
        <w:t xml:space="preserve">Plan tehnički opis pogona i postrojenja, </w:t>
      </w:r>
    </w:p>
    <w:p w:rsidR="00690898" w:rsidRPr="00F77EEB" w:rsidRDefault="00690898" w:rsidP="00690898">
      <w:pPr>
        <w:pStyle w:val="BodyText2"/>
        <w:numPr>
          <w:ilvl w:val="0"/>
          <w:numId w:val="3"/>
        </w:numPr>
        <w:rPr>
          <w:rFonts w:cs="Arial"/>
          <w:szCs w:val="22"/>
          <w:lang w:val="hr-HR"/>
        </w:rPr>
      </w:pPr>
      <w:r w:rsidRPr="00F77EEB">
        <w:rPr>
          <w:rFonts w:cs="Arial"/>
          <w:szCs w:val="22"/>
          <w:lang w:val="hr-HR"/>
        </w:rPr>
        <w:t xml:space="preserve">Osnovne i pomoćne sirovine i ostale supstance i energije koje se koriste u procesu, </w:t>
      </w:r>
    </w:p>
    <w:p w:rsidR="00690898" w:rsidRPr="00F77EEB" w:rsidRDefault="00690898" w:rsidP="00690898">
      <w:pPr>
        <w:pStyle w:val="BodyText2"/>
        <w:numPr>
          <w:ilvl w:val="0"/>
          <w:numId w:val="3"/>
        </w:numPr>
        <w:rPr>
          <w:rFonts w:cs="Arial"/>
          <w:szCs w:val="22"/>
          <w:lang w:val="hr-HR"/>
        </w:rPr>
      </w:pPr>
      <w:r w:rsidRPr="00F77EEB">
        <w:rPr>
          <w:rFonts w:cs="Arial"/>
          <w:szCs w:val="22"/>
          <w:lang w:val="hr-HR"/>
        </w:rPr>
        <w:t xml:space="preserve">Izvori emisija: </w:t>
      </w:r>
    </w:p>
    <w:p w:rsidR="00690898" w:rsidRPr="00F77EEB" w:rsidRDefault="00690898" w:rsidP="00690898">
      <w:pPr>
        <w:pStyle w:val="BodyText2"/>
        <w:numPr>
          <w:ilvl w:val="1"/>
          <w:numId w:val="3"/>
        </w:numPr>
        <w:rPr>
          <w:rFonts w:cs="Arial"/>
          <w:szCs w:val="22"/>
          <w:lang w:val="hr-HR"/>
        </w:rPr>
      </w:pPr>
      <w:r w:rsidRPr="00F77EEB">
        <w:rPr>
          <w:rFonts w:cs="Arial"/>
          <w:szCs w:val="22"/>
          <w:lang w:val="hr-HR"/>
        </w:rPr>
        <w:t>emisije u zrak,</w:t>
      </w:r>
    </w:p>
    <w:p w:rsidR="00690898" w:rsidRPr="00F77EEB" w:rsidRDefault="00690898" w:rsidP="00690898">
      <w:pPr>
        <w:pStyle w:val="BodyText2"/>
        <w:numPr>
          <w:ilvl w:val="1"/>
          <w:numId w:val="3"/>
        </w:numPr>
        <w:rPr>
          <w:rFonts w:cs="Arial"/>
          <w:szCs w:val="22"/>
          <w:lang w:val="hr-HR"/>
        </w:rPr>
      </w:pPr>
      <w:r w:rsidRPr="00F77EEB">
        <w:rPr>
          <w:rFonts w:cs="Arial"/>
          <w:szCs w:val="22"/>
          <w:lang w:val="hr-HR"/>
        </w:rPr>
        <w:t>emisije u vodu,</w:t>
      </w:r>
    </w:p>
    <w:p w:rsidR="00690898" w:rsidRPr="00F77EEB" w:rsidRDefault="00690898" w:rsidP="00690898">
      <w:pPr>
        <w:pStyle w:val="BodyText2"/>
        <w:numPr>
          <w:ilvl w:val="1"/>
          <w:numId w:val="3"/>
        </w:numPr>
        <w:rPr>
          <w:rFonts w:cs="Arial"/>
          <w:szCs w:val="22"/>
          <w:lang w:val="hr-HR"/>
        </w:rPr>
      </w:pPr>
      <w:r w:rsidRPr="00F77EEB">
        <w:rPr>
          <w:rFonts w:cs="Arial"/>
          <w:szCs w:val="22"/>
          <w:lang w:val="hr-HR"/>
        </w:rPr>
        <w:t>čvrsti otpad,</w:t>
      </w:r>
    </w:p>
    <w:p w:rsidR="00690898" w:rsidRPr="00F77EEB" w:rsidRDefault="00690898" w:rsidP="00690898">
      <w:pPr>
        <w:pStyle w:val="BodyText2"/>
        <w:numPr>
          <w:ilvl w:val="0"/>
          <w:numId w:val="3"/>
        </w:numPr>
        <w:jc w:val="left"/>
        <w:rPr>
          <w:rFonts w:cs="Arial"/>
          <w:szCs w:val="22"/>
          <w:lang w:val="hr-HR"/>
        </w:rPr>
      </w:pPr>
      <w:r w:rsidRPr="00F77EEB">
        <w:rPr>
          <w:rFonts w:cs="Arial"/>
          <w:szCs w:val="22"/>
          <w:lang w:val="hr-HR"/>
        </w:rPr>
        <w:t xml:space="preserve">Mjere za usklađivanje obaveza operatora: </w:t>
      </w:r>
    </w:p>
    <w:p w:rsidR="00690898" w:rsidRPr="00F77EEB" w:rsidRDefault="00690898" w:rsidP="00690898">
      <w:pPr>
        <w:pStyle w:val="BodyText2"/>
        <w:numPr>
          <w:ilvl w:val="0"/>
          <w:numId w:val="5"/>
        </w:numPr>
        <w:ind w:left="1418" w:hanging="425"/>
        <w:jc w:val="left"/>
        <w:rPr>
          <w:rFonts w:cs="Arial"/>
          <w:szCs w:val="22"/>
          <w:lang w:val="hr-HR"/>
        </w:rPr>
      </w:pPr>
      <w:r w:rsidRPr="00F77EEB">
        <w:rPr>
          <w:rFonts w:cs="Arial"/>
          <w:szCs w:val="22"/>
          <w:lang w:val="hr-HR"/>
        </w:rPr>
        <w:t>mjere zaštite stanovništva u naseljima,</w:t>
      </w:r>
    </w:p>
    <w:p w:rsidR="00690898" w:rsidRPr="00F77EEB" w:rsidRDefault="00690898" w:rsidP="00690898">
      <w:pPr>
        <w:pStyle w:val="BodyText2"/>
        <w:numPr>
          <w:ilvl w:val="0"/>
          <w:numId w:val="5"/>
        </w:numPr>
        <w:ind w:left="1418" w:hanging="425"/>
        <w:jc w:val="left"/>
        <w:rPr>
          <w:rFonts w:cs="Arial"/>
          <w:szCs w:val="22"/>
          <w:lang w:val="hr-HR"/>
        </w:rPr>
      </w:pPr>
      <w:r w:rsidRPr="00F77EEB">
        <w:rPr>
          <w:rFonts w:cs="Arial"/>
          <w:szCs w:val="22"/>
          <w:lang w:val="hr-HR"/>
        </w:rPr>
        <w:t>mjere sigurnosti,</w:t>
      </w:r>
    </w:p>
    <w:p w:rsidR="00690898" w:rsidRPr="00F77EEB" w:rsidRDefault="00690898" w:rsidP="00690898">
      <w:pPr>
        <w:pStyle w:val="BodyText2"/>
        <w:numPr>
          <w:ilvl w:val="0"/>
          <w:numId w:val="5"/>
        </w:numPr>
        <w:ind w:left="1418" w:hanging="425"/>
        <w:jc w:val="left"/>
        <w:rPr>
          <w:rFonts w:cs="Arial"/>
          <w:szCs w:val="22"/>
          <w:lang w:val="hr-HR"/>
        </w:rPr>
      </w:pPr>
      <w:r w:rsidRPr="00F77EEB">
        <w:rPr>
          <w:rFonts w:cs="Arial"/>
          <w:szCs w:val="22"/>
          <w:lang w:val="hr-HR"/>
        </w:rPr>
        <w:t xml:space="preserve">mjere sprečavanja emisije u zrak, </w:t>
      </w:r>
    </w:p>
    <w:p w:rsidR="00690898" w:rsidRPr="00F77EEB" w:rsidRDefault="00690898" w:rsidP="00690898">
      <w:pPr>
        <w:pStyle w:val="BodyText2"/>
        <w:numPr>
          <w:ilvl w:val="0"/>
          <w:numId w:val="5"/>
        </w:numPr>
        <w:ind w:left="1418" w:hanging="425"/>
        <w:jc w:val="left"/>
        <w:rPr>
          <w:rFonts w:cs="Arial"/>
          <w:szCs w:val="22"/>
          <w:lang w:val="hr-HR"/>
        </w:rPr>
      </w:pPr>
      <w:r w:rsidRPr="00F77EEB">
        <w:rPr>
          <w:rFonts w:cs="Arial"/>
          <w:szCs w:val="22"/>
          <w:lang w:val="hr-HR"/>
        </w:rPr>
        <w:lastRenderedPageBreak/>
        <w:t xml:space="preserve">mjere sprečavanja i smanjenja čvrstog otpada i otpadne vode. </w:t>
      </w:r>
    </w:p>
    <w:p w:rsidR="00690898" w:rsidRPr="00F77EEB" w:rsidRDefault="00690898" w:rsidP="00690898">
      <w:pPr>
        <w:pStyle w:val="BodyText2"/>
        <w:numPr>
          <w:ilvl w:val="0"/>
          <w:numId w:val="3"/>
        </w:numPr>
        <w:rPr>
          <w:rFonts w:cs="Arial"/>
          <w:szCs w:val="22"/>
          <w:lang w:val="hr-HR"/>
        </w:rPr>
      </w:pPr>
      <w:r w:rsidRPr="00F77EEB">
        <w:rPr>
          <w:rFonts w:cs="Arial"/>
          <w:szCs w:val="22"/>
          <w:lang w:val="hr-HR"/>
        </w:rPr>
        <w:t>Mjere planirane za monitoring:</w:t>
      </w:r>
    </w:p>
    <w:p w:rsidR="00690898" w:rsidRPr="00F77EEB" w:rsidRDefault="00690898" w:rsidP="00690898">
      <w:pPr>
        <w:pStyle w:val="BodyText2"/>
        <w:numPr>
          <w:ilvl w:val="1"/>
          <w:numId w:val="3"/>
        </w:numPr>
        <w:rPr>
          <w:rFonts w:cs="Arial"/>
          <w:szCs w:val="22"/>
          <w:lang w:val="hr-HR"/>
        </w:rPr>
      </w:pPr>
      <w:r w:rsidRPr="00F77EEB">
        <w:rPr>
          <w:rFonts w:cs="Arial"/>
          <w:szCs w:val="22"/>
          <w:lang w:val="hr-HR"/>
        </w:rPr>
        <w:t>mjerenje parametara otpadnih voda:,</w:t>
      </w:r>
    </w:p>
    <w:p w:rsidR="00690898" w:rsidRPr="00F77EEB" w:rsidRDefault="00690898" w:rsidP="00690898">
      <w:pPr>
        <w:pStyle w:val="BodyText2"/>
        <w:numPr>
          <w:ilvl w:val="1"/>
          <w:numId w:val="3"/>
        </w:numPr>
        <w:rPr>
          <w:rFonts w:cs="Arial"/>
          <w:szCs w:val="22"/>
          <w:lang w:val="hr-HR"/>
        </w:rPr>
      </w:pPr>
      <w:r w:rsidRPr="00F77EEB">
        <w:rPr>
          <w:rFonts w:cs="Arial"/>
          <w:szCs w:val="22"/>
          <w:lang w:val="hr-HR"/>
        </w:rPr>
        <w:t xml:space="preserve">mjerenje parametara emisije u zrak, </w:t>
      </w:r>
    </w:p>
    <w:p w:rsidR="00690898" w:rsidRPr="00F77EEB" w:rsidRDefault="00690898" w:rsidP="00690898">
      <w:pPr>
        <w:numPr>
          <w:ilvl w:val="0"/>
          <w:numId w:val="3"/>
        </w:numPr>
        <w:jc w:val="both"/>
        <w:rPr>
          <w:rFonts w:ascii="Arial" w:hAnsi="Arial" w:cs="Arial"/>
          <w:sz w:val="22"/>
          <w:szCs w:val="22"/>
          <w:lang w:val="hr-HR"/>
        </w:rPr>
      </w:pPr>
      <w:r w:rsidRPr="00F77EEB">
        <w:rPr>
          <w:rFonts w:ascii="Arial" w:hAnsi="Arial" w:cs="Arial"/>
          <w:sz w:val="22"/>
          <w:szCs w:val="22"/>
          <w:lang w:val="hr-HR"/>
        </w:rPr>
        <w:t>Alternativna rješenja nisu razmatrana jer je industrijski objekat već izgrađen i u postupku je pribavljanja neophodnih dozvola,</w:t>
      </w:r>
    </w:p>
    <w:p w:rsidR="004B4849" w:rsidRPr="00F77EEB" w:rsidRDefault="004B4849" w:rsidP="004B4849">
      <w:pPr>
        <w:ind w:left="720"/>
        <w:jc w:val="both"/>
        <w:rPr>
          <w:rFonts w:ascii="Arial" w:hAnsi="Arial" w:cs="Arial"/>
          <w:sz w:val="22"/>
          <w:szCs w:val="22"/>
          <w:lang w:val="hr-HR"/>
        </w:rPr>
      </w:pPr>
    </w:p>
    <w:p w:rsidR="00690898" w:rsidRPr="00F77EEB" w:rsidRDefault="00690898" w:rsidP="00690898">
      <w:pPr>
        <w:numPr>
          <w:ilvl w:val="0"/>
          <w:numId w:val="3"/>
        </w:numPr>
        <w:ind w:hanging="357"/>
        <w:jc w:val="both"/>
        <w:rPr>
          <w:rFonts w:ascii="Arial" w:hAnsi="Arial" w:cs="Arial"/>
          <w:bCs/>
          <w:sz w:val="22"/>
          <w:szCs w:val="22"/>
        </w:rPr>
      </w:pPr>
      <w:r w:rsidRPr="00F77EEB">
        <w:rPr>
          <w:rFonts w:ascii="Arial" w:hAnsi="Arial" w:cs="Arial"/>
          <w:sz w:val="22"/>
          <w:szCs w:val="22"/>
          <w:lang w:val="hr-HR"/>
        </w:rPr>
        <w:t xml:space="preserve">Prilozi: </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 Rješenje o okolinskoj dozvoli - novembar, 2015.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 Rješenje o vodnoj dozvoli, Agencija za vodno područje rijeke Save, Sarajevo 2016.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 Aktuelni izvod iz sudskog registra, 2019.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 Uputstvo za rukovanje i skladištenje m-toliliden diizocijanatom i sigurnosni tehnički list</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Uputstvo za pretakanje propan-butan plina (TNP-a)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Izvještaj o mjerenju emisije zagađujućih materija u zrak „Institut TQM Tuzla“, august 2020.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Ugovor sa kompanijom Inspekt RGH doo Sarajevo</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Izvještaj o monitoringu kvaliteta i kvantiteta otpadnih voda pogona Plana-pur BH doo Kakanj, februar 2020.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Zapisnik o stručnom nalazu periodičnog pregleda i ispitivanja uslova radne sredine, Institut TQM d.o.o. Tuzla, juli 2020. </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Ugovor sa kompanijom EKO TRADE doo Kakanj od 2013. godine na neodređeno vrijeme</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Potvrda Ekopak doo, 2019.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Obrazloženje - Fond za zaštitu okoliša FBiH električni i elektronski otpad 2019.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Računi za uredno izmirenje obaveza odvoza komunalnog otpada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Ugovor sa kompanijom Delta Petrol doo Kakanj za 2020. godinu</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Izvještaj o stanju sigurnosti</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Informacije o sigurnosnim mjerama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Unutrašnji plan intervencija</w:t>
      </w:r>
    </w:p>
    <w:p w:rsidR="00E04127" w:rsidRPr="00F77EEB" w:rsidRDefault="00E04127" w:rsidP="00E04127">
      <w:pPr>
        <w:ind w:left="1440"/>
        <w:jc w:val="both"/>
        <w:rPr>
          <w:rFonts w:ascii="Arial" w:hAnsi="Arial" w:cs="Arial"/>
          <w:sz w:val="22"/>
          <w:szCs w:val="22"/>
        </w:rPr>
      </w:pPr>
    </w:p>
    <w:p w:rsidR="00690898" w:rsidRPr="00F77EEB" w:rsidRDefault="00690898" w:rsidP="00690898">
      <w:pPr>
        <w:pStyle w:val="BodyText2"/>
        <w:tabs>
          <w:tab w:val="left" w:pos="0"/>
        </w:tabs>
        <w:rPr>
          <w:rFonts w:cs="Arial"/>
          <w:szCs w:val="22"/>
        </w:rPr>
      </w:pPr>
    </w:p>
    <w:p w:rsidR="00690898" w:rsidRPr="00F77EEB" w:rsidRDefault="00E04127" w:rsidP="00690898">
      <w:pPr>
        <w:pStyle w:val="BodyText2"/>
        <w:tabs>
          <w:tab w:val="left" w:pos="0"/>
        </w:tabs>
        <w:rPr>
          <w:rFonts w:cs="Arial"/>
          <w:szCs w:val="22"/>
        </w:rPr>
      </w:pPr>
      <w:r w:rsidRPr="00F77EEB">
        <w:rPr>
          <w:rFonts w:cs="Arial"/>
          <w:szCs w:val="22"/>
        </w:rPr>
        <w:tab/>
      </w:r>
      <w:r w:rsidR="00690898" w:rsidRPr="00F77EEB">
        <w:rPr>
          <w:rFonts w:cs="Arial"/>
          <w:szCs w:val="22"/>
        </w:rPr>
        <w:t>Prema Pravilniku o pogonima i postrojenjima za koje je obavezna procjena utjecaja na okoli</w:t>
      </w:r>
      <w:r w:rsidR="00A44E4B" w:rsidRPr="00F77EEB">
        <w:rPr>
          <w:rFonts w:cs="Arial"/>
          <w:szCs w:val="22"/>
        </w:rPr>
        <w:t>š</w:t>
      </w:r>
      <w:r w:rsidR="00690898" w:rsidRPr="00F77EEB">
        <w:rPr>
          <w:rFonts w:cs="Arial"/>
          <w:szCs w:val="22"/>
        </w:rPr>
        <w:t xml:space="preserve"> i pogonima i postrojenjima koji mogu biti izrađeni i pusteni u rad samo ako imaju okolinsku dozvolu</w:t>
      </w:r>
      <w:proofErr w:type="gramStart"/>
      <w:r w:rsidR="00690898" w:rsidRPr="00F77EEB">
        <w:rPr>
          <w:rFonts w:cs="Arial"/>
          <w:szCs w:val="22"/>
        </w:rPr>
        <w:t>  (</w:t>
      </w:r>
      <w:proofErr w:type="gramEnd"/>
      <w:r w:rsidR="00690898" w:rsidRPr="00F77EEB">
        <w:rPr>
          <w:rFonts w:cs="Arial"/>
          <w:szCs w:val="22"/>
        </w:rPr>
        <w:t xml:space="preserve">“Službene novine Federacije BiH” broj 19/04) “PLAMA-PUR BH” d.o.o. Kakanj spada u kategoriju postrojenja za koja nije potrebna procjena uticja na okoliša, ali je za isti prema čl. 9, 10 i </w:t>
      </w:r>
      <w:proofErr w:type="gramStart"/>
      <w:r w:rsidR="00690898" w:rsidRPr="00F77EEB">
        <w:rPr>
          <w:rFonts w:cs="Arial"/>
          <w:szCs w:val="22"/>
        </w:rPr>
        <w:t>11  neophodno</w:t>
      </w:r>
      <w:proofErr w:type="gramEnd"/>
      <w:r w:rsidR="00690898" w:rsidRPr="00F77EEB">
        <w:rPr>
          <w:rFonts w:cs="Arial"/>
          <w:szCs w:val="22"/>
        </w:rPr>
        <w:t xml:space="preserve"> izraditi Plan sprečavanja nesreća većih razmjera, Informacija o sigurnosnim mjerama, Izvještaj o stanju sigurnosti i Unutrašnji plan intervencija.</w:t>
      </w:r>
    </w:p>
    <w:p w:rsidR="00690898" w:rsidRPr="00F77EEB" w:rsidRDefault="00690898" w:rsidP="00690898">
      <w:pPr>
        <w:pStyle w:val="BodyText2"/>
        <w:tabs>
          <w:tab w:val="left" w:pos="0"/>
        </w:tabs>
        <w:rPr>
          <w:rFonts w:cs="Arial"/>
          <w:szCs w:val="22"/>
        </w:rPr>
      </w:pPr>
    </w:p>
    <w:p w:rsidR="00690898" w:rsidRPr="00F77EEB" w:rsidRDefault="00886091" w:rsidP="007117E1">
      <w:pPr>
        <w:pStyle w:val="BodyText2"/>
        <w:tabs>
          <w:tab w:val="left" w:pos="0"/>
        </w:tabs>
        <w:rPr>
          <w:rFonts w:cs="Arial"/>
          <w:szCs w:val="22"/>
          <w:lang w:val="hr-HR"/>
        </w:rPr>
      </w:pPr>
      <w:r w:rsidRPr="00F77EEB">
        <w:rPr>
          <w:rFonts w:cs="Arial"/>
          <w:szCs w:val="22"/>
        </w:rPr>
        <w:tab/>
      </w:r>
      <w:r w:rsidR="00690898" w:rsidRPr="00F77EEB">
        <w:rPr>
          <w:rFonts w:cs="Arial"/>
          <w:szCs w:val="22"/>
        </w:rPr>
        <w:t xml:space="preserve">Investitoru “PLAMA-PUR BH” d.o.o. Kakanj je izdata okolišna dozvola br. UPI-05/2-23-5-175-2/11 SN </w:t>
      </w:r>
      <w:proofErr w:type="gramStart"/>
      <w:r w:rsidR="00690898" w:rsidRPr="00F77EEB">
        <w:rPr>
          <w:rFonts w:cs="Arial"/>
          <w:szCs w:val="22"/>
        </w:rPr>
        <w:t>od</w:t>
      </w:r>
      <w:proofErr w:type="gramEnd"/>
      <w:r w:rsidR="00690898" w:rsidRPr="00F77EEB">
        <w:rPr>
          <w:rFonts w:cs="Arial"/>
          <w:szCs w:val="22"/>
        </w:rPr>
        <w:t xml:space="preserve"> 22.3.2012. </w:t>
      </w:r>
      <w:proofErr w:type="gramStart"/>
      <w:r w:rsidR="00690898" w:rsidRPr="00F77EEB">
        <w:rPr>
          <w:rFonts w:cs="Arial"/>
          <w:szCs w:val="22"/>
        </w:rPr>
        <w:t>godine</w:t>
      </w:r>
      <w:proofErr w:type="gramEnd"/>
      <w:r w:rsidR="00E2367E" w:rsidRPr="00F77EEB">
        <w:rPr>
          <w:rFonts w:cs="Arial"/>
          <w:szCs w:val="22"/>
        </w:rPr>
        <w:t xml:space="preserve"> i dozvola UPI-05/2-23-5-175-2/11 od 04.11.2015. </w:t>
      </w:r>
      <w:proofErr w:type="gramStart"/>
      <w:r w:rsidR="00E2367E" w:rsidRPr="00F77EEB">
        <w:rPr>
          <w:rFonts w:cs="Arial"/>
          <w:szCs w:val="22"/>
        </w:rPr>
        <w:t>godine</w:t>
      </w:r>
      <w:proofErr w:type="gramEnd"/>
      <w:r w:rsidR="00690898" w:rsidRPr="00F77EEB">
        <w:rPr>
          <w:rFonts w:cs="Arial"/>
          <w:szCs w:val="22"/>
        </w:rPr>
        <w:t xml:space="preserve"> za tvornicu za proizvodnju meke poliuretanske pjene u naselju Bjelavići, općina Kakanj.</w:t>
      </w:r>
      <w:r w:rsidR="00782C40" w:rsidRPr="00F77EEB">
        <w:rPr>
          <w:rFonts w:cs="Arial"/>
          <w:szCs w:val="22"/>
        </w:rPr>
        <w:t xml:space="preserve"> </w:t>
      </w:r>
    </w:p>
    <w:p w:rsidR="00174646" w:rsidRPr="00F77EEB" w:rsidRDefault="00174646" w:rsidP="00360122">
      <w:pPr>
        <w:pStyle w:val="BodyText2"/>
        <w:tabs>
          <w:tab w:val="left" w:pos="0"/>
        </w:tabs>
        <w:rPr>
          <w:rFonts w:cs="Arial"/>
          <w:szCs w:val="22"/>
        </w:rPr>
      </w:pPr>
    </w:p>
    <w:p w:rsidR="00690898" w:rsidRPr="00F77EEB" w:rsidRDefault="00782C40" w:rsidP="00360122">
      <w:pPr>
        <w:pStyle w:val="BodyText2"/>
        <w:tabs>
          <w:tab w:val="left" w:pos="0"/>
        </w:tabs>
        <w:rPr>
          <w:rFonts w:cs="Arial"/>
          <w:szCs w:val="22"/>
        </w:rPr>
      </w:pPr>
      <w:r w:rsidRPr="00F77EEB">
        <w:rPr>
          <w:rFonts w:cs="Arial"/>
          <w:szCs w:val="22"/>
          <w:lang w:val="hr-HR"/>
        </w:rPr>
        <w:t>Investitor „PLAMA-PUR BH“ d.o.o., Kakanj</w:t>
      </w:r>
      <w:r w:rsidR="009E3D59" w:rsidRPr="00F77EEB">
        <w:rPr>
          <w:rFonts w:cs="Arial"/>
          <w:szCs w:val="22"/>
          <w:lang w:val="hr-HR"/>
        </w:rPr>
        <w:t xml:space="preserve"> je</w:t>
      </w:r>
      <w:r w:rsidRPr="00F77EEB">
        <w:rPr>
          <w:rFonts w:cs="Arial"/>
          <w:szCs w:val="22"/>
          <w:lang w:val="hr-HR"/>
        </w:rPr>
        <w:t xml:space="preserve"> dostavio:</w:t>
      </w:r>
    </w:p>
    <w:p w:rsidR="00690898" w:rsidRPr="00F77EEB" w:rsidRDefault="00690898" w:rsidP="00360122">
      <w:pPr>
        <w:numPr>
          <w:ilvl w:val="0"/>
          <w:numId w:val="15"/>
        </w:numPr>
        <w:jc w:val="both"/>
        <w:rPr>
          <w:rFonts w:ascii="Arial" w:hAnsi="Arial" w:cs="Arial"/>
          <w:sz w:val="22"/>
          <w:szCs w:val="22"/>
        </w:rPr>
      </w:pPr>
      <w:r w:rsidRPr="00F77EEB">
        <w:rPr>
          <w:rFonts w:ascii="Arial" w:hAnsi="Arial" w:cs="Arial"/>
          <w:sz w:val="22"/>
          <w:szCs w:val="22"/>
        </w:rPr>
        <w:t>Dokumentacija uz zahtjev za okolinsku dozvolu:</w:t>
      </w:r>
    </w:p>
    <w:p w:rsidR="00690898" w:rsidRPr="00F77EEB" w:rsidRDefault="00690898" w:rsidP="00360122">
      <w:pPr>
        <w:pStyle w:val="BodyText2"/>
        <w:tabs>
          <w:tab w:val="left" w:pos="0"/>
        </w:tabs>
        <w:ind w:left="708"/>
        <w:rPr>
          <w:rFonts w:cs="Arial"/>
          <w:szCs w:val="22"/>
        </w:rPr>
      </w:pPr>
      <w:r w:rsidRPr="00F77EEB">
        <w:rPr>
          <w:rFonts w:cs="Arial"/>
          <w:szCs w:val="22"/>
        </w:rPr>
        <w:t>1. Ime i adresa operatora/investitora</w:t>
      </w:r>
    </w:p>
    <w:p w:rsidR="00690898" w:rsidRPr="00F77EEB" w:rsidRDefault="00690898" w:rsidP="00360122">
      <w:pPr>
        <w:pStyle w:val="BodyText2"/>
        <w:tabs>
          <w:tab w:val="left" w:pos="0"/>
        </w:tabs>
        <w:ind w:left="708"/>
        <w:rPr>
          <w:rFonts w:cs="Arial"/>
          <w:szCs w:val="22"/>
        </w:rPr>
      </w:pPr>
      <w:r w:rsidRPr="00F77EEB">
        <w:rPr>
          <w:rFonts w:cs="Arial"/>
          <w:szCs w:val="22"/>
        </w:rPr>
        <w:t>2. Lokacija pogona i postrojenja</w:t>
      </w:r>
    </w:p>
    <w:p w:rsidR="00690898" w:rsidRPr="00F77EEB" w:rsidRDefault="00690898" w:rsidP="00360122">
      <w:pPr>
        <w:pStyle w:val="BodyText2"/>
        <w:tabs>
          <w:tab w:val="left" w:pos="0"/>
        </w:tabs>
        <w:ind w:left="708"/>
        <w:rPr>
          <w:rFonts w:cs="Arial"/>
          <w:szCs w:val="22"/>
        </w:rPr>
      </w:pPr>
      <w:r w:rsidRPr="00F77EEB">
        <w:rPr>
          <w:rFonts w:cs="Arial"/>
          <w:szCs w:val="22"/>
        </w:rPr>
        <w:t>3. Opis pogona, postrojenja i aktivnosti</w:t>
      </w:r>
    </w:p>
    <w:p w:rsidR="00690898" w:rsidRPr="00F77EEB" w:rsidRDefault="00690898" w:rsidP="00360122">
      <w:pPr>
        <w:pStyle w:val="BodyText2"/>
        <w:tabs>
          <w:tab w:val="left" w:pos="0"/>
        </w:tabs>
        <w:ind w:left="708"/>
        <w:rPr>
          <w:rFonts w:cs="Arial"/>
          <w:szCs w:val="22"/>
        </w:rPr>
      </w:pPr>
      <w:r w:rsidRPr="00F77EEB">
        <w:rPr>
          <w:rFonts w:cs="Arial"/>
          <w:szCs w:val="22"/>
        </w:rPr>
        <w:t xml:space="preserve">    3.1. Instalirani kapacitet</w:t>
      </w:r>
    </w:p>
    <w:p w:rsidR="00690898" w:rsidRPr="00F77EEB" w:rsidRDefault="00690898" w:rsidP="00360122">
      <w:pPr>
        <w:pStyle w:val="BodyText2"/>
        <w:tabs>
          <w:tab w:val="left" w:pos="0"/>
        </w:tabs>
        <w:ind w:left="708"/>
        <w:rPr>
          <w:rFonts w:cs="Arial"/>
          <w:szCs w:val="22"/>
        </w:rPr>
      </w:pPr>
      <w:r w:rsidRPr="00F77EEB">
        <w:rPr>
          <w:rFonts w:cs="Arial"/>
          <w:szCs w:val="22"/>
        </w:rPr>
        <w:t xml:space="preserve">    3.2. Tehnički podaci o postrojenju</w:t>
      </w:r>
    </w:p>
    <w:p w:rsidR="00690898" w:rsidRPr="00F77EEB" w:rsidRDefault="00690898" w:rsidP="00360122">
      <w:pPr>
        <w:pStyle w:val="BodyText2"/>
        <w:tabs>
          <w:tab w:val="left" w:pos="0"/>
        </w:tabs>
        <w:ind w:left="708"/>
        <w:rPr>
          <w:rFonts w:cs="Arial"/>
          <w:szCs w:val="22"/>
        </w:rPr>
      </w:pPr>
      <w:r w:rsidRPr="00F77EEB">
        <w:rPr>
          <w:rFonts w:cs="Arial"/>
          <w:szCs w:val="22"/>
        </w:rPr>
        <w:t xml:space="preserve">    3.3</w:t>
      </w:r>
      <w:proofErr w:type="gramStart"/>
      <w:r w:rsidRPr="00F77EEB">
        <w:rPr>
          <w:rFonts w:cs="Arial"/>
          <w:szCs w:val="22"/>
        </w:rPr>
        <w:t>.tehnološki</w:t>
      </w:r>
      <w:proofErr w:type="gramEnd"/>
      <w:r w:rsidRPr="00F77EEB">
        <w:rPr>
          <w:rFonts w:cs="Arial"/>
          <w:szCs w:val="22"/>
        </w:rPr>
        <w:t xml:space="preserve"> opis</w:t>
      </w:r>
    </w:p>
    <w:p w:rsidR="00690898" w:rsidRPr="00F77EEB" w:rsidRDefault="00690898" w:rsidP="00360122">
      <w:pPr>
        <w:pStyle w:val="BodyText2"/>
        <w:tabs>
          <w:tab w:val="left" w:pos="0"/>
        </w:tabs>
        <w:ind w:left="708"/>
        <w:rPr>
          <w:rFonts w:cs="Arial"/>
          <w:szCs w:val="22"/>
        </w:rPr>
      </w:pPr>
      <w:r w:rsidRPr="00F77EEB">
        <w:rPr>
          <w:rFonts w:cs="Arial"/>
          <w:szCs w:val="22"/>
        </w:rPr>
        <w:t xml:space="preserve">4. Osnovne i pomoćne sirovine, ostale </w:t>
      </w:r>
      <w:proofErr w:type="gramStart"/>
      <w:r w:rsidRPr="00F77EEB">
        <w:rPr>
          <w:rFonts w:cs="Arial"/>
          <w:szCs w:val="22"/>
        </w:rPr>
        <w:t>supstance  i</w:t>
      </w:r>
      <w:proofErr w:type="gramEnd"/>
      <w:r w:rsidRPr="00F77EEB">
        <w:rPr>
          <w:rFonts w:cs="Arial"/>
          <w:szCs w:val="22"/>
        </w:rPr>
        <w:t xml:space="preserve"> energija koja se koristi u procesu</w:t>
      </w:r>
    </w:p>
    <w:p w:rsidR="00690898" w:rsidRPr="00F77EEB" w:rsidRDefault="00690898" w:rsidP="00360122">
      <w:pPr>
        <w:pStyle w:val="BodyText2"/>
        <w:tabs>
          <w:tab w:val="left" w:pos="0"/>
        </w:tabs>
        <w:ind w:left="708"/>
        <w:rPr>
          <w:rFonts w:cs="Arial"/>
          <w:szCs w:val="22"/>
        </w:rPr>
      </w:pPr>
      <w:r w:rsidRPr="00F77EEB">
        <w:rPr>
          <w:rFonts w:cs="Arial"/>
          <w:szCs w:val="22"/>
        </w:rPr>
        <w:t xml:space="preserve">    4.1. Osnovne i pomoćne sirovine</w:t>
      </w:r>
    </w:p>
    <w:p w:rsidR="00690898" w:rsidRPr="00F77EEB" w:rsidRDefault="00690898" w:rsidP="00360122">
      <w:pPr>
        <w:pStyle w:val="BodyText2"/>
        <w:tabs>
          <w:tab w:val="left" w:pos="0"/>
        </w:tabs>
        <w:ind w:left="708"/>
        <w:rPr>
          <w:rFonts w:cs="Arial"/>
          <w:szCs w:val="22"/>
        </w:rPr>
      </w:pPr>
      <w:r w:rsidRPr="00F77EEB">
        <w:rPr>
          <w:rFonts w:cs="Arial"/>
          <w:szCs w:val="22"/>
        </w:rPr>
        <w:t>4.1.1. Osnovne sirovine</w:t>
      </w:r>
    </w:p>
    <w:p w:rsidR="00690898" w:rsidRPr="00F77EEB" w:rsidRDefault="00690898" w:rsidP="00360122">
      <w:pPr>
        <w:pStyle w:val="BodyText2"/>
        <w:tabs>
          <w:tab w:val="left" w:pos="0"/>
        </w:tabs>
        <w:ind w:left="708"/>
        <w:rPr>
          <w:rFonts w:cs="Arial"/>
          <w:szCs w:val="22"/>
        </w:rPr>
      </w:pPr>
      <w:r w:rsidRPr="00F77EEB">
        <w:rPr>
          <w:rFonts w:cs="Arial"/>
          <w:szCs w:val="22"/>
        </w:rPr>
        <w:t>4.1.2. Pomoćne sirovine</w:t>
      </w:r>
    </w:p>
    <w:p w:rsidR="00690898" w:rsidRPr="00F77EEB" w:rsidRDefault="00690898" w:rsidP="00360122">
      <w:pPr>
        <w:pStyle w:val="BodyText2"/>
        <w:tabs>
          <w:tab w:val="left" w:pos="0"/>
        </w:tabs>
        <w:ind w:left="708"/>
        <w:rPr>
          <w:rFonts w:cs="Arial"/>
          <w:szCs w:val="22"/>
        </w:rPr>
      </w:pPr>
      <w:r w:rsidRPr="00F77EEB">
        <w:rPr>
          <w:rFonts w:cs="Arial"/>
          <w:szCs w:val="22"/>
        </w:rPr>
        <w:lastRenderedPageBreak/>
        <w:t xml:space="preserve">    4.2. Opis hemijskog procesa</w:t>
      </w:r>
    </w:p>
    <w:p w:rsidR="00690898" w:rsidRPr="00F77EEB" w:rsidRDefault="00690898" w:rsidP="00360122">
      <w:pPr>
        <w:pStyle w:val="BodyText2"/>
        <w:tabs>
          <w:tab w:val="left" w:pos="0"/>
        </w:tabs>
        <w:ind w:left="708"/>
        <w:rPr>
          <w:rFonts w:cs="Arial"/>
          <w:szCs w:val="22"/>
        </w:rPr>
      </w:pPr>
      <w:r w:rsidRPr="00F77EEB">
        <w:rPr>
          <w:rFonts w:cs="Arial"/>
          <w:szCs w:val="22"/>
        </w:rPr>
        <w:t xml:space="preserve">    4.3. Energenti</w:t>
      </w:r>
    </w:p>
    <w:p w:rsidR="00690898" w:rsidRPr="00F77EEB" w:rsidRDefault="00690898" w:rsidP="00360122">
      <w:pPr>
        <w:pStyle w:val="BodyText2"/>
        <w:tabs>
          <w:tab w:val="left" w:pos="0"/>
        </w:tabs>
        <w:ind w:left="708"/>
        <w:rPr>
          <w:rFonts w:cs="Arial"/>
          <w:szCs w:val="22"/>
        </w:rPr>
      </w:pPr>
      <w:r w:rsidRPr="00F77EEB">
        <w:rPr>
          <w:rFonts w:cs="Arial"/>
          <w:szCs w:val="22"/>
        </w:rPr>
        <w:t xml:space="preserve">5. Pregled izvora zagađivanja i mogućih uticaja </w:t>
      </w:r>
      <w:proofErr w:type="gramStart"/>
      <w:r w:rsidRPr="00F77EEB">
        <w:rPr>
          <w:rFonts w:cs="Arial"/>
          <w:szCs w:val="22"/>
        </w:rPr>
        <w:t>na</w:t>
      </w:r>
      <w:proofErr w:type="gramEnd"/>
      <w:r w:rsidRPr="00F77EEB">
        <w:rPr>
          <w:rFonts w:cs="Arial"/>
          <w:szCs w:val="22"/>
        </w:rPr>
        <w:t xml:space="preserve"> okolinu</w:t>
      </w:r>
    </w:p>
    <w:p w:rsidR="00690898" w:rsidRPr="00F77EEB" w:rsidRDefault="00690898" w:rsidP="00360122">
      <w:pPr>
        <w:pStyle w:val="BodyText2"/>
        <w:tabs>
          <w:tab w:val="left" w:pos="0"/>
        </w:tabs>
        <w:ind w:left="708"/>
        <w:rPr>
          <w:rFonts w:cs="Arial"/>
          <w:szCs w:val="22"/>
        </w:rPr>
      </w:pPr>
      <w:r w:rsidRPr="00F77EEB">
        <w:rPr>
          <w:rFonts w:cs="Arial"/>
          <w:szCs w:val="22"/>
        </w:rPr>
        <w:t>6. Mjere za usklađivanje obaveza operatora</w:t>
      </w:r>
    </w:p>
    <w:p w:rsidR="00690898" w:rsidRPr="00F77EEB" w:rsidRDefault="00690898" w:rsidP="00360122">
      <w:pPr>
        <w:pStyle w:val="BodyText2"/>
        <w:tabs>
          <w:tab w:val="left" w:pos="0"/>
        </w:tabs>
        <w:ind w:left="708"/>
        <w:rPr>
          <w:rFonts w:cs="Arial"/>
          <w:szCs w:val="22"/>
        </w:rPr>
      </w:pPr>
      <w:r w:rsidRPr="00F77EEB">
        <w:rPr>
          <w:rFonts w:cs="Arial"/>
          <w:szCs w:val="22"/>
        </w:rPr>
        <w:t xml:space="preserve">    7. Mjere planirane za monitoring</w:t>
      </w:r>
    </w:p>
    <w:p w:rsidR="00690898" w:rsidRPr="00F77EEB" w:rsidRDefault="00690898" w:rsidP="00360122">
      <w:pPr>
        <w:pStyle w:val="BodyText2"/>
        <w:tabs>
          <w:tab w:val="left" w:pos="0"/>
        </w:tabs>
        <w:ind w:left="708"/>
        <w:rPr>
          <w:rFonts w:cs="Arial"/>
          <w:szCs w:val="22"/>
        </w:rPr>
      </w:pPr>
      <w:r w:rsidRPr="00F77EEB">
        <w:rPr>
          <w:rFonts w:cs="Arial"/>
          <w:szCs w:val="22"/>
        </w:rPr>
        <w:t>8. Alternativna rješenja</w:t>
      </w:r>
    </w:p>
    <w:p w:rsidR="00174646" w:rsidRPr="00F77EEB" w:rsidRDefault="00174646" w:rsidP="00360122">
      <w:pPr>
        <w:pStyle w:val="Heading1"/>
        <w:ind w:left="708"/>
        <w:rPr>
          <w:rFonts w:cs="Arial"/>
          <w:sz w:val="22"/>
          <w:szCs w:val="22"/>
          <w:lang w:val="hr-HR"/>
        </w:rPr>
      </w:pPr>
    </w:p>
    <w:p w:rsidR="00690898" w:rsidRPr="00F77EEB" w:rsidRDefault="00690898" w:rsidP="00360122">
      <w:pPr>
        <w:pStyle w:val="Heading1"/>
        <w:rPr>
          <w:rFonts w:cs="Arial"/>
          <w:bCs/>
          <w:sz w:val="22"/>
          <w:szCs w:val="22"/>
        </w:rPr>
      </w:pPr>
      <w:r w:rsidRPr="00F77EEB">
        <w:rPr>
          <w:rFonts w:cs="Arial"/>
          <w:sz w:val="22"/>
          <w:szCs w:val="22"/>
          <w:lang w:val="hr-HR"/>
        </w:rPr>
        <w:t xml:space="preserve">Prilozi: </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Rješenje o okolinskoj dozvoli - novembar, 2015. </w:t>
      </w:r>
      <w:r w:rsidR="00E2367E" w:rsidRPr="00F77EEB">
        <w:rPr>
          <w:rFonts w:cs="Arial"/>
          <w:szCs w:val="22"/>
          <w:lang w:val="hr-HR"/>
        </w:rPr>
        <w:t>g</w:t>
      </w:r>
      <w:r w:rsidRPr="00F77EEB">
        <w:rPr>
          <w:rFonts w:cs="Arial"/>
          <w:szCs w:val="22"/>
          <w:lang w:val="hr-HR"/>
        </w:rPr>
        <w:t>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 Rješenje o vodnoj dozvoli, Agencija za vodno područje rijeke Save, Sarajevo 2016.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 Aktuelni izvod iz sudskog registra, 2019.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 Uputstvo za rukovanje i skladištenje m-toliliden diizocijanatom i sigurnosni tehnički list</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Uputstvo za pretakanje propan-butan plina (TNP-a)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Izvještaj o mjerenju emisije zagađujućih materija u zrak „Institut TQM Tuzla“, august 2020.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Ugovor sa kompanijom Inspekt RGH doo Sarajevo</w:t>
      </w:r>
      <w:r w:rsidR="00E2367E" w:rsidRPr="00F77EEB">
        <w:rPr>
          <w:rFonts w:cs="Arial"/>
          <w:szCs w:val="22"/>
          <w:lang w:val="hr-HR"/>
        </w:rPr>
        <w:t>,</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Izvještaj o monitoringu kvaliteta i kvantiteta otpadnih voda pogona Plana-pur BH doo Kakanj, februar 2020. godina</w:t>
      </w:r>
      <w:r w:rsidR="00E2367E" w:rsidRPr="00F77EEB">
        <w:rPr>
          <w:rFonts w:cs="Arial"/>
          <w:szCs w:val="22"/>
          <w:lang w:val="hr-HR"/>
        </w:rPr>
        <w:t>,</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 xml:space="preserve">Zapisnik o stručnom nalazu periodičnog pregleda i ispitivanja uslova radne sredine, Institut TQM d.o.o. Tuzla, juli 2020. </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Ugovor sa kompanijom EKO TRADE doo Kakanj od 2013. godine na neodređeno vrijeme</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Potvrda Ekopak doo, 2019.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Obrazloženje - Fond za zaštitu okoliša FBiH električni i elektronski otpad 2019. godina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Računi za uredno izmirenje obaveza odvoza komunalnog otpada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Ugovor sa kompanijom Delta Petrol doo Kakanj za 2020. godinu</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Izvještaj o stanju sigurnosti</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Informacije o sigurnosnim mjerama</w:t>
      </w:r>
    </w:p>
    <w:p w:rsidR="00E04127" w:rsidRPr="00F77EEB" w:rsidRDefault="00E04127" w:rsidP="00E04127">
      <w:pPr>
        <w:pStyle w:val="BodyText2"/>
        <w:numPr>
          <w:ilvl w:val="1"/>
          <w:numId w:val="3"/>
        </w:numPr>
        <w:rPr>
          <w:rFonts w:cs="Arial"/>
          <w:szCs w:val="22"/>
          <w:lang w:val="hr-HR"/>
        </w:rPr>
      </w:pPr>
      <w:r w:rsidRPr="00F77EEB">
        <w:rPr>
          <w:rFonts w:cs="Arial"/>
          <w:szCs w:val="22"/>
          <w:lang w:val="hr-HR"/>
        </w:rPr>
        <w:t>Unutrašnji plan intervencija</w:t>
      </w:r>
    </w:p>
    <w:p w:rsidR="00F837B9" w:rsidRPr="00F77EEB" w:rsidRDefault="00F837B9" w:rsidP="008E7422">
      <w:pPr>
        <w:pStyle w:val="BodyText2"/>
        <w:tabs>
          <w:tab w:val="left" w:pos="0"/>
        </w:tabs>
        <w:rPr>
          <w:rFonts w:cs="Arial"/>
          <w:szCs w:val="22"/>
        </w:rPr>
      </w:pPr>
    </w:p>
    <w:p w:rsidR="00690898" w:rsidRPr="00F77EEB" w:rsidRDefault="00690898" w:rsidP="00690898">
      <w:pPr>
        <w:pStyle w:val="FR2"/>
        <w:widowControl/>
        <w:tabs>
          <w:tab w:val="left" w:pos="284"/>
        </w:tabs>
        <w:autoSpaceDE/>
        <w:autoSpaceDN/>
        <w:adjustRightInd/>
        <w:spacing w:before="0"/>
        <w:rPr>
          <w:sz w:val="22"/>
          <w:szCs w:val="22"/>
        </w:rPr>
      </w:pPr>
      <w:r w:rsidRPr="00F77EEB">
        <w:rPr>
          <w:sz w:val="22"/>
          <w:szCs w:val="22"/>
        </w:rPr>
        <w:t xml:space="preserve">Dostavljenom dokumentacijom </w:t>
      </w:r>
      <w:r w:rsidR="008E7422" w:rsidRPr="00F77EEB">
        <w:rPr>
          <w:sz w:val="22"/>
          <w:szCs w:val="22"/>
        </w:rPr>
        <w:t xml:space="preserve">za Plama pur d.o.o. Kakanj </w:t>
      </w:r>
      <w:r w:rsidRPr="00F77EEB">
        <w:rPr>
          <w:sz w:val="22"/>
          <w:szCs w:val="22"/>
        </w:rPr>
        <w:t>izabrana je tehnologija koja koristi supstance koje su sa okolinskog aspekta prihvatljivije, mjere prevencije i minimiziranja negativnog uticaja na okoliš u skladu su sa najboljim raspoloživim tehnikama koje su usvajene od strane  European Commission – Directorate – General JR, te razmotrivši odnosni zahtijev, cjelokupnu dokumentaciju, te nalaze inspekcije:</w:t>
      </w:r>
    </w:p>
    <w:p w:rsidR="00690898" w:rsidRPr="00F77EEB" w:rsidRDefault="00690898" w:rsidP="00690898">
      <w:pPr>
        <w:jc w:val="both"/>
        <w:rPr>
          <w:rFonts w:ascii="Arial" w:hAnsi="Arial" w:cs="Arial"/>
          <w:sz w:val="22"/>
          <w:szCs w:val="22"/>
          <w:lang w:val="hr-HR"/>
        </w:rPr>
      </w:pPr>
    </w:p>
    <w:p w:rsidR="00EE57DF" w:rsidRPr="00F77EEB" w:rsidRDefault="00DD0DCF" w:rsidP="008E7422">
      <w:pPr>
        <w:pStyle w:val="BodyText2"/>
        <w:tabs>
          <w:tab w:val="left" w:pos="0"/>
        </w:tabs>
        <w:rPr>
          <w:rFonts w:cs="Arial"/>
          <w:szCs w:val="22"/>
        </w:rPr>
      </w:pPr>
      <w:r w:rsidRPr="00F77EEB">
        <w:rPr>
          <w:rFonts w:cs="Arial"/>
          <w:szCs w:val="22"/>
        </w:rPr>
        <w:tab/>
      </w:r>
      <w:r w:rsidR="008E7422" w:rsidRPr="00F77EEB">
        <w:rPr>
          <w:rFonts w:cs="Arial"/>
          <w:szCs w:val="22"/>
        </w:rPr>
        <w:t xml:space="preserve">Dana </w:t>
      </w:r>
      <w:r w:rsidR="00E2367E" w:rsidRPr="00F77EEB">
        <w:rPr>
          <w:rFonts w:cs="Arial"/>
          <w:szCs w:val="22"/>
        </w:rPr>
        <w:t>11</w:t>
      </w:r>
      <w:r w:rsidR="008E7422" w:rsidRPr="00F77EEB">
        <w:rPr>
          <w:rFonts w:cs="Arial"/>
          <w:szCs w:val="22"/>
        </w:rPr>
        <w:t>.</w:t>
      </w:r>
      <w:r w:rsidR="00E2367E" w:rsidRPr="00F77EEB">
        <w:rPr>
          <w:rFonts w:cs="Arial"/>
          <w:szCs w:val="22"/>
        </w:rPr>
        <w:t>11</w:t>
      </w:r>
      <w:r w:rsidR="00EE57DF" w:rsidRPr="00F77EEB">
        <w:rPr>
          <w:rFonts w:cs="Arial"/>
          <w:szCs w:val="22"/>
        </w:rPr>
        <w:t xml:space="preserve">. </w:t>
      </w:r>
      <w:r w:rsidR="008E7422" w:rsidRPr="00F77EEB">
        <w:rPr>
          <w:rFonts w:cs="Arial"/>
          <w:szCs w:val="22"/>
        </w:rPr>
        <w:t>20</w:t>
      </w:r>
      <w:r w:rsidR="00E2367E" w:rsidRPr="00F77EEB">
        <w:rPr>
          <w:rFonts w:cs="Arial"/>
          <w:szCs w:val="22"/>
        </w:rPr>
        <w:t>20</w:t>
      </w:r>
      <w:r w:rsidR="008E7422" w:rsidRPr="00F77EEB">
        <w:rPr>
          <w:rFonts w:cs="Arial"/>
          <w:szCs w:val="22"/>
        </w:rPr>
        <w:t xml:space="preserve"> godine MZ Bjelavići, MZ Brežani i MZ Haljinići su dostavili primjedbe </w:t>
      </w:r>
      <w:r w:rsidR="00A44E4B" w:rsidRPr="00F77EEB">
        <w:rPr>
          <w:rFonts w:cs="Arial"/>
          <w:szCs w:val="22"/>
        </w:rPr>
        <w:t xml:space="preserve">I </w:t>
      </w:r>
      <w:r w:rsidR="008E7422" w:rsidRPr="00F77EEB">
        <w:rPr>
          <w:rFonts w:cs="Arial"/>
          <w:szCs w:val="22"/>
        </w:rPr>
        <w:t xml:space="preserve">sugestije </w:t>
      </w:r>
      <w:proofErr w:type="gramStart"/>
      <w:r w:rsidR="008E7422" w:rsidRPr="00F77EEB">
        <w:rPr>
          <w:rFonts w:cs="Arial"/>
          <w:szCs w:val="22"/>
        </w:rPr>
        <w:t>na</w:t>
      </w:r>
      <w:proofErr w:type="gramEnd"/>
      <w:r w:rsidR="008E7422" w:rsidRPr="00F77EEB">
        <w:rPr>
          <w:rFonts w:cs="Arial"/>
          <w:szCs w:val="22"/>
        </w:rPr>
        <w:t xml:space="preserve"> Zahtjev za izdavanje okolinske dozvole za PLAMAPUR d.o.o. Kakanj</w:t>
      </w:r>
      <w:r w:rsidR="00EE57DF" w:rsidRPr="00F77EEB">
        <w:rPr>
          <w:rFonts w:cs="Arial"/>
          <w:szCs w:val="22"/>
        </w:rPr>
        <w:t>.</w:t>
      </w:r>
    </w:p>
    <w:p w:rsidR="00EE57DF" w:rsidRPr="00F77EEB" w:rsidRDefault="00EE57DF" w:rsidP="00EE57DF">
      <w:pPr>
        <w:pStyle w:val="BodyText2"/>
        <w:tabs>
          <w:tab w:val="left" w:pos="0"/>
        </w:tabs>
        <w:rPr>
          <w:rFonts w:cs="Arial"/>
          <w:szCs w:val="22"/>
        </w:rPr>
      </w:pPr>
    </w:p>
    <w:p w:rsidR="00EE57DF" w:rsidRPr="00F77EEB" w:rsidRDefault="00EE57DF" w:rsidP="00EE57DF">
      <w:pPr>
        <w:spacing w:line="276" w:lineRule="auto"/>
        <w:ind w:firstLine="708"/>
        <w:jc w:val="both"/>
        <w:rPr>
          <w:rFonts w:ascii="Arial" w:hAnsi="Arial" w:cs="Arial"/>
          <w:sz w:val="22"/>
          <w:szCs w:val="22"/>
        </w:rPr>
      </w:pPr>
      <w:r w:rsidRPr="00F77EEB">
        <w:rPr>
          <w:rFonts w:ascii="Arial" w:hAnsi="Arial" w:cs="Arial"/>
          <w:sz w:val="22"/>
          <w:szCs w:val="22"/>
        </w:rPr>
        <w:t xml:space="preserve">U odgovoru federalnog ministarstva </w:t>
      </w:r>
      <w:r w:rsidRPr="00F77EEB">
        <w:rPr>
          <w:rFonts w:ascii="Arial" w:hAnsi="Arial" w:cs="Arial"/>
          <w:sz w:val="22"/>
          <w:szCs w:val="22"/>
        </w:rPr>
        <w:t xml:space="preserve">upućenom </w:t>
      </w:r>
      <w:r w:rsidRPr="00F77EEB">
        <w:rPr>
          <w:rFonts w:ascii="Arial" w:hAnsi="Arial" w:cs="Arial"/>
          <w:szCs w:val="22"/>
        </w:rPr>
        <w:t xml:space="preserve">MZ Bjelavići, MZ Brežani i MZ Haljinići </w:t>
      </w:r>
      <w:proofErr w:type="gramStart"/>
      <w:r w:rsidRPr="00F77EEB">
        <w:rPr>
          <w:rFonts w:ascii="Arial" w:hAnsi="Arial" w:cs="Arial"/>
          <w:sz w:val="22"/>
          <w:szCs w:val="22"/>
        </w:rPr>
        <w:t xml:space="preserve">od  </w:t>
      </w:r>
      <w:r w:rsidRPr="00F77EEB">
        <w:rPr>
          <w:rFonts w:ascii="Arial" w:hAnsi="Arial" w:cs="Arial"/>
          <w:sz w:val="22"/>
          <w:szCs w:val="22"/>
          <w:lang w:val="hr-HR"/>
        </w:rPr>
        <w:t>02</w:t>
      </w:r>
      <w:proofErr w:type="gramEnd"/>
      <w:r w:rsidRPr="00F77EEB">
        <w:rPr>
          <w:rFonts w:ascii="Arial" w:hAnsi="Arial" w:cs="Arial"/>
          <w:sz w:val="22"/>
          <w:szCs w:val="22"/>
          <w:lang w:val="hr-HR"/>
        </w:rPr>
        <w:t>. 12. 2020. godine</w:t>
      </w:r>
      <w:r w:rsidRPr="00F77EEB">
        <w:rPr>
          <w:rFonts w:ascii="Arial" w:hAnsi="Arial" w:cs="Arial"/>
          <w:sz w:val="22"/>
          <w:szCs w:val="22"/>
          <w:lang w:val="hr-HR"/>
        </w:rPr>
        <w:t>. navedeno je sljedeće:</w:t>
      </w:r>
    </w:p>
    <w:p w:rsidR="00EE57DF" w:rsidRPr="00F77EEB" w:rsidRDefault="00EE57DF" w:rsidP="00EE57DF">
      <w:pPr>
        <w:spacing w:line="276" w:lineRule="auto"/>
        <w:ind w:firstLine="708"/>
        <w:jc w:val="both"/>
        <w:rPr>
          <w:rFonts w:ascii="Arial" w:hAnsi="Arial" w:cs="Arial"/>
          <w:sz w:val="22"/>
          <w:szCs w:val="22"/>
        </w:rPr>
      </w:pPr>
      <w:r w:rsidRPr="00F77EEB">
        <w:rPr>
          <w:rFonts w:ascii="Arial" w:hAnsi="Arial" w:cs="Arial"/>
          <w:sz w:val="22"/>
          <w:szCs w:val="22"/>
        </w:rPr>
        <w:t xml:space="preserve">Pogon i postrojenje koji je predmet okolinske dozvole je skladište toluendiizocijanata (TDI) koje je sastavni dio Fabrike za proizvodnju meke poliuretanske pjene. Aktivnosti za dobijanje svih potrebnih dozvola su pokrenute prije gradnje skladišta i Fabrike za proizvodnju meke poliuretanske pjene. U periodu 2004. – 2005. </w:t>
      </w:r>
      <w:proofErr w:type="gramStart"/>
      <w:r w:rsidRPr="00F77EEB">
        <w:rPr>
          <w:rFonts w:ascii="Arial" w:hAnsi="Arial" w:cs="Arial"/>
          <w:sz w:val="22"/>
          <w:szCs w:val="22"/>
        </w:rPr>
        <w:t>godine</w:t>
      </w:r>
      <w:proofErr w:type="gramEnd"/>
      <w:r w:rsidRPr="00F77EEB">
        <w:rPr>
          <w:rFonts w:ascii="Arial" w:hAnsi="Arial" w:cs="Arial"/>
          <w:sz w:val="22"/>
          <w:szCs w:val="22"/>
        </w:rPr>
        <w:t xml:space="preserve">, a prije ishođenja okolinske dozvle, izdato je  Rješenje Ministarstva za prostorno uređenje, promet i komunikacije i zaštitu okoline Zeničko-dobojskog kantona br. 12-23-3378/04 od 14.10.2004., Vodovodna saglasnost za objekat „Fabrika meke poliuretanske pjene“ JP Vodovod i kanalizacija Kakanj br. 05-1426-11/04 od 17.11.2004. </w:t>
      </w:r>
      <w:proofErr w:type="gramStart"/>
      <w:r w:rsidRPr="00F77EEB">
        <w:rPr>
          <w:rFonts w:ascii="Arial" w:hAnsi="Arial" w:cs="Arial"/>
          <w:sz w:val="22"/>
          <w:szCs w:val="22"/>
        </w:rPr>
        <w:t>te</w:t>
      </w:r>
      <w:proofErr w:type="gramEnd"/>
      <w:r w:rsidRPr="00F77EEB">
        <w:rPr>
          <w:rFonts w:ascii="Arial" w:hAnsi="Arial" w:cs="Arial"/>
          <w:sz w:val="22"/>
          <w:szCs w:val="22"/>
        </w:rPr>
        <w:t xml:space="preserve"> Prethodna energetska suglasnost br. P-01-XI-04-P, JP Elektroprivreda BIH d.d. Sarajevo, Direkcija za elektrodistribuciju Zenica. </w:t>
      </w:r>
    </w:p>
    <w:p w:rsidR="00EE57DF" w:rsidRPr="00F77EEB" w:rsidRDefault="00EE57DF" w:rsidP="00EE57DF">
      <w:pPr>
        <w:spacing w:line="276" w:lineRule="auto"/>
        <w:ind w:firstLine="708"/>
        <w:jc w:val="both"/>
        <w:rPr>
          <w:rFonts w:ascii="Arial" w:hAnsi="Arial" w:cs="Arial"/>
          <w:sz w:val="22"/>
          <w:szCs w:val="22"/>
        </w:rPr>
      </w:pPr>
    </w:p>
    <w:p w:rsidR="00EE57DF" w:rsidRPr="00F77EEB" w:rsidRDefault="00EE57DF" w:rsidP="00EE57DF">
      <w:pPr>
        <w:spacing w:line="276" w:lineRule="auto"/>
        <w:ind w:firstLine="708"/>
        <w:jc w:val="both"/>
        <w:rPr>
          <w:rFonts w:ascii="Arial" w:hAnsi="Arial" w:cs="Arial"/>
          <w:sz w:val="22"/>
          <w:szCs w:val="22"/>
        </w:rPr>
      </w:pPr>
      <w:r w:rsidRPr="00F77EEB">
        <w:rPr>
          <w:rFonts w:ascii="Arial" w:hAnsi="Arial" w:cs="Arial"/>
          <w:sz w:val="22"/>
          <w:szCs w:val="22"/>
        </w:rPr>
        <w:lastRenderedPageBreak/>
        <w:t xml:space="preserve">U postupku izdavanja okolinske dozvole za Fabriku za proizvodnju meke poliuretanske pjena sa skladištem TDI dokumentacija je bila dostupna javnosti i dostavljena je Ministarsvu za prostorno uređenje, promet i komunikacije i zaštitu okoline ZDK, Ministarsvu za privredu ZDK, Općini Kakanj, Omladinskoj organizaciji Tutto completo, Zeleni mir Kakanj, JP Vodovod i kanalizacija Kakanj, MZ Bjelavići, MZ Brežani i MZ Čatići. Svoje mišljenje i sugestije su dostavili stanovnici MZ Brežani Kakanj. </w:t>
      </w:r>
    </w:p>
    <w:p w:rsidR="00EE57DF" w:rsidRPr="00F77EEB" w:rsidRDefault="00EE57DF" w:rsidP="00EE57DF">
      <w:pPr>
        <w:spacing w:line="276" w:lineRule="auto"/>
        <w:jc w:val="both"/>
        <w:rPr>
          <w:rFonts w:ascii="Arial" w:hAnsi="Arial" w:cs="Arial"/>
          <w:sz w:val="22"/>
          <w:szCs w:val="22"/>
        </w:rPr>
      </w:pPr>
    </w:p>
    <w:p w:rsidR="00EE57DF" w:rsidRPr="00F77EEB" w:rsidRDefault="00EE57DF" w:rsidP="00EE57DF">
      <w:pPr>
        <w:spacing w:line="276" w:lineRule="auto"/>
        <w:ind w:firstLine="708"/>
        <w:jc w:val="both"/>
        <w:rPr>
          <w:rFonts w:ascii="Arial" w:hAnsi="Arial" w:cs="Arial"/>
          <w:sz w:val="22"/>
          <w:szCs w:val="22"/>
        </w:rPr>
      </w:pPr>
      <w:r w:rsidRPr="00F77EEB">
        <w:rPr>
          <w:rFonts w:ascii="Arial" w:hAnsi="Arial" w:cs="Arial"/>
          <w:sz w:val="22"/>
          <w:szCs w:val="22"/>
        </w:rPr>
        <w:t xml:space="preserve">Ministarsvo je organizovalo javnu raspravu 30.06.2005. </w:t>
      </w:r>
      <w:proofErr w:type="gramStart"/>
      <w:r w:rsidRPr="00F77EEB">
        <w:rPr>
          <w:rFonts w:ascii="Arial" w:hAnsi="Arial" w:cs="Arial"/>
          <w:sz w:val="22"/>
          <w:szCs w:val="22"/>
        </w:rPr>
        <w:t>godine</w:t>
      </w:r>
      <w:proofErr w:type="gramEnd"/>
      <w:r w:rsidRPr="00F77EEB">
        <w:rPr>
          <w:rFonts w:ascii="Arial" w:hAnsi="Arial" w:cs="Arial"/>
          <w:sz w:val="22"/>
          <w:szCs w:val="22"/>
        </w:rPr>
        <w:t xml:space="preserve"> na kojoj su bile prisutne zainteresirane strane. Na javnoj raspravi je prezentiran zahtjev za okolinsku dozvolu kao prateća dokumentacija uključujući Plan sprečavanja nesreća velikih razmjera. Rješenje o Okolinskoj dozvoli br UPI/03/19-23-4-168/04 za Fabriku za proizvodnju poliuretanske pjene je izdato prvi put 27.07.2005. </w:t>
      </w:r>
      <w:proofErr w:type="gramStart"/>
      <w:r w:rsidRPr="00F77EEB">
        <w:rPr>
          <w:rFonts w:ascii="Arial" w:hAnsi="Arial" w:cs="Arial"/>
          <w:sz w:val="22"/>
          <w:szCs w:val="22"/>
        </w:rPr>
        <w:t>godine</w:t>
      </w:r>
      <w:proofErr w:type="gramEnd"/>
      <w:r w:rsidRPr="00F77EEB">
        <w:rPr>
          <w:rFonts w:ascii="Arial" w:hAnsi="Arial" w:cs="Arial"/>
          <w:sz w:val="22"/>
          <w:szCs w:val="22"/>
        </w:rPr>
        <w:t>.</w:t>
      </w:r>
    </w:p>
    <w:p w:rsidR="00EE57DF" w:rsidRPr="00F77EEB" w:rsidRDefault="00EE57DF" w:rsidP="00EE57DF">
      <w:pPr>
        <w:spacing w:line="276" w:lineRule="auto"/>
        <w:ind w:firstLine="708"/>
        <w:jc w:val="both"/>
        <w:rPr>
          <w:rFonts w:ascii="Arial" w:hAnsi="Arial" w:cs="Arial"/>
          <w:sz w:val="22"/>
          <w:szCs w:val="22"/>
        </w:rPr>
      </w:pPr>
    </w:p>
    <w:p w:rsidR="00EE57DF" w:rsidRPr="00F77EEB" w:rsidRDefault="00EE57DF" w:rsidP="00EE57DF">
      <w:pPr>
        <w:spacing w:line="276" w:lineRule="auto"/>
        <w:ind w:firstLine="708"/>
        <w:jc w:val="both"/>
        <w:rPr>
          <w:rFonts w:ascii="Arial" w:hAnsi="Arial" w:cs="Arial"/>
          <w:sz w:val="22"/>
          <w:szCs w:val="22"/>
        </w:rPr>
      </w:pPr>
      <w:r w:rsidRPr="00F77EEB">
        <w:rPr>
          <w:rFonts w:ascii="Arial" w:hAnsi="Arial" w:cs="Arial"/>
          <w:sz w:val="22"/>
          <w:szCs w:val="22"/>
        </w:rPr>
        <w:t xml:space="preserve"> </w:t>
      </w:r>
      <w:proofErr w:type="gramStart"/>
      <w:r w:rsidRPr="00F77EEB">
        <w:rPr>
          <w:rFonts w:ascii="Arial" w:hAnsi="Arial" w:cs="Arial"/>
          <w:sz w:val="22"/>
          <w:szCs w:val="22"/>
        </w:rPr>
        <w:t>Nakon  izdavanja</w:t>
      </w:r>
      <w:proofErr w:type="gramEnd"/>
      <w:r w:rsidRPr="00F77EEB">
        <w:rPr>
          <w:rFonts w:ascii="Arial" w:hAnsi="Arial" w:cs="Arial"/>
          <w:sz w:val="22"/>
          <w:szCs w:val="22"/>
        </w:rPr>
        <w:t xml:space="preserve"> prve okolinske dozvole pokrenut je postupak za ishođenje ostalih dozvola (Rješenje o urbanističkoj saglasnosti, Rješenje o odobrenju za građenje, Rješenje o prethodnoj vodnoj saglasnosti, Rješenje o upotrebi građevine, Rješenje o vodnoj saglasnosti). Tek po dobijanju Rješenja o urbanističkoj saglasnosti i Rješenja o odobrenju za građenje Operator je pokrenuo izgradnju Fabrike. Kroz sva navedena rješenja, dozvole i saglasnosti nije predlagano aternativno rješenje </w:t>
      </w:r>
      <w:proofErr w:type="gramStart"/>
      <w:r w:rsidRPr="00F77EEB">
        <w:rPr>
          <w:rFonts w:ascii="Arial" w:hAnsi="Arial" w:cs="Arial"/>
          <w:sz w:val="22"/>
          <w:szCs w:val="22"/>
        </w:rPr>
        <w:t>od</w:t>
      </w:r>
      <w:proofErr w:type="gramEnd"/>
      <w:r w:rsidRPr="00F77EEB">
        <w:rPr>
          <w:rFonts w:ascii="Arial" w:hAnsi="Arial" w:cs="Arial"/>
          <w:sz w:val="22"/>
          <w:szCs w:val="22"/>
        </w:rPr>
        <w:t xml:space="preserve"> strane nadležnih ministarstava i službi.</w:t>
      </w:r>
    </w:p>
    <w:p w:rsidR="00EE57DF" w:rsidRPr="00F77EEB" w:rsidRDefault="00EE57DF" w:rsidP="00EE57DF">
      <w:pPr>
        <w:spacing w:line="276" w:lineRule="auto"/>
        <w:jc w:val="both"/>
        <w:rPr>
          <w:rFonts w:ascii="Arial" w:hAnsi="Arial" w:cs="Arial"/>
          <w:sz w:val="22"/>
          <w:szCs w:val="22"/>
        </w:rPr>
      </w:pPr>
      <w:r w:rsidRPr="00F77EEB">
        <w:rPr>
          <w:rFonts w:ascii="Arial" w:hAnsi="Arial" w:cs="Arial"/>
          <w:sz w:val="22"/>
          <w:szCs w:val="22"/>
        </w:rPr>
        <w:t xml:space="preserve">  </w:t>
      </w:r>
    </w:p>
    <w:p w:rsidR="00EE57DF" w:rsidRPr="00F77EEB" w:rsidRDefault="00EE57DF" w:rsidP="00EE57DF">
      <w:pPr>
        <w:spacing w:line="276" w:lineRule="auto"/>
        <w:ind w:firstLine="720"/>
        <w:jc w:val="both"/>
        <w:rPr>
          <w:rFonts w:ascii="Arial" w:hAnsi="Arial" w:cs="Arial"/>
          <w:sz w:val="22"/>
          <w:szCs w:val="22"/>
        </w:rPr>
      </w:pPr>
      <w:r w:rsidRPr="00F77EEB">
        <w:rPr>
          <w:rFonts w:ascii="Arial" w:hAnsi="Arial" w:cs="Arial"/>
          <w:sz w:val="22"/>
          <w:szCs w:val="22"/>
        </w:rPr>
        <w:t xml:space="preserve">Federalno ministarstvo okoliša i turizma je privrednom društvu “PLAMA-PUR BH” d.o.o. Kakanj izdalo okolišnu dozvola br. UPI-05/2-23-5-175-2/11 </w:t>
      </w:r>
      <w:proofErr w:type="gramStart"/>
      <w:r w:rsidRPr="00F77EEB">
        <w:rPr>
          <w:rFonts w:ascii="Arial" w:hAnsi="Arial" w:cs="Arial"/>
          <w:sz w:val="22"/>
          <w:szCs w:val="22"/>
        </w:rPr>
        <w:t>od</w:t>
      </w:r>
      <w:proofErr w:type="gramEnd"/>
      <w:r w:rsidRPr="00F77EEB">
        <w:rPr>
          <w:rFonts w:ascii="Arial" w:hAnsi="Arial" w:cs="Arial"/>
          <w:sz w:val="22"/>
          <w:szCs w:val="22"/>
        </w:rPr>
        <w:t xml:space="preserve"> 04.11.2015. </w:t>
      </w:r>
      <w:proofErr w:type="gramStart"/>
      <w:r w:rsidRPr="00F77EEB">
        <w:rPr>
          <w:rFonts w:ascii="Arial" w:hAnsi="Arial" w:cs="Arial"/>
          <w:sz w:val="22"/>
          <w:szCs w:val="22"/>
        </w:rPr>
        <w:t>godine</w:t>
      </w:r>
      <w:proofErr w:type="gramEnd"/>
      <w:r w:rsidRPr="00F77EEB">
        <w:rPr>
          <w:rFonts w:ascii="Arial" w:hAnsi="Arial" w:cs="Arial"/>
          <w:sz w:val="22"/>
          <w:szCs w:val="22"/>
        </w:rPr>
        <w:t>.</w:t>
      </w:r>
    </w:p>
    <w:p w:rsidR="00EE57DF" w:rsidRPr="00F77EEB" w:rsidRDefault="00EE57DF" w:rsidP="00EE57DF">
      <w:pPr>
        <w:spacing w:line="276" w:lineRule="auto"/>
        <w:ind w:firstLine="720"/>
        <w:jc w:val="both"/>
        <w:rPr>
          <w:rFonts w:ascii="Arial" w:hAnsi="Arial" w:cs="Arial"/>
          <w:sz w:val="22"/>
          <w:szCs w:val="22"/>
        </w:rPr>
      </w:pPr>
    </w:p>
    <w:p w:rsidR="00EE57DF" w:rsidRPr="00F77EEB" w:rsidRDefault="00EE57DF" w:rsidP="00EE57DF">
      <w:pPr>
        <w:spacing w:line="276" w:lineRule="auto"/>
        <w:ind w:firstLine="720"/>
        <w:jc w:val="both"/>
        <w:rPr>
          <w:rFonts w:ascii="Arial" w:hAnsi="Arial" w:cs="Arial"/>
          <w:sz w:val="22"/>
          <w:szCs w:val="22"/>
        </w:rPr>
      </w:pPr>
      <w:r w:rsidRPr="00F77EEB">
        <w:rPr>
          <w:rFonts w:ascii="Arial" w:hAnsi="Arial" w:cs="Arial"/>
          <w:sz w:val="22"/>
          <w:szCs w:val="22"/>
        </w:rPr>
        <w:t xml:space="preserve">Plama Pur je redovno predmet inspekcijskog nadzora, </w:t>
      </w:r>
      <w:proofErr w:type="gramStart"/>
      <w:r w:rsidRPr="00F77EEB">
        <w:rPr>
          <w:rFonts w:ascii="Arial" w:hAnsi="Arial" w:cs="Arial"/>
          <w:sz w:val="22"/>
          <w:szCs w:val="22"/>
        </w:rPr>
        <w:t>te</w:t>
      </w:r>
      <w:proofErr w:type="gramEnd"/>
      <w:r w:rsidRPr="00F77EEB">
        <w:rPr>
          <w:rFonts w:ascii="Arial" w:hAnsi="Arial" w:cs="Arial"/>
          <w:sz w:val="22"/>
          <w:szCs w:val="22"/>
        </w:rPr>
        <w:t xml:space="preserve"> do sada inspekcijski nadzor nije zabilježio napravilnost u radu. Prema dostavljenoj dokumentaciji, redovno se </w:t>
      </w:r>
      <w:proofErr w:type="gramStart"/>
      <w:r w:rsidRPr="00F77EEB">
        <w:rPr>
          <w:rFonts w:ascii="Arial" w:hAnsi="Arial" w:cs="Arial"/>
          <w:sz w:val="22"/>
          <w:szCs w:val="22"/>
        </w:rPr>
        <w:t>vrsi  mjerenje</w:t>
      </w:r>
      <w:proofErr w:type="gramEnd"/>
      <w:r w:rsidRPr="00F77EEB">
        <w:rPr>
          <w:rFonts w:ascii="Arial" w:hAnsi="Arial" w:cs="Arial"/>
          <w:sz w:val="22"/>
          <w:szCs w:val="22"/>
        </w:rPr>
        <w:t xml:space="preserve"> emisija u zrak kako i ispitivanja uslova radne sredine (TQM Tuzla, laboratorij koji posjeduje BATA akreditaciju). Također, dostavljeni su i rezultati </w:t>
      </w:r>
      <w:proofErr w:type="gramStart"/>
      <w:r w:rsidRPr="00F77EEB">
        <w:rPr>
          <w:rFonts w:ascii="Arial" w:hAnsi="Arial" w:cs="Arial"/>
          <w:sz w:val="22"/>
          <w:szCs w:val="22"/>
        </w:rPr>
        <w:t>o  monitoringu</w:t>
      </w:r>
      <w:proofErr w:type="gramEnd"/>
      <w:r w:rsidRPr="00F77EEB">
        <w:rPr>
          <w:rFonts w:ascii="Arial" w:hAnsi="Arial" w:cs="Arial"/>
          <w:sz w:val="22"/>
          <w:szCs w:val="22"/>
        </w:rPr>
        <w:t xml:space="preserve"> kvaliteta i kvantiteta otpadnih voda.</w:t>
      </w:r>
    </w:p>
    <w:p w:rsidR="00EE57DF" w:rsidRPr="00F77EEB" w:rsidRDefault="00EE57DF" w:rsidP="00EE57DF">
      <w:pPr>
        <w:spacing w:line="276" w:lineRule="auto"/>
        <w:ind w:firstLine="720"/>
        <w:jc w:val="both"/>
        <w:rPr>
          <w:rFonts w:ascii="Arial" w:hAnsi="Arial" w:cs="Arial"/>
          <w:sz w:val="22"/>
          <w:szCs w:val="22"/>
        </w:rPr>
      </w:pPr>
    </w:p>
    <w:p w:rsidR="00EE57DF" w:rsidRPr="00F77EEB" w:rsidRDefault="00EE57DF" w:rsidP="00EE57DF">
      <w:pPr>
        <w:spacing w:line="276" w:lineRule="auto"/>
        <w:ind w:firstLine="720"/>
        <w:jc w:val="both"/>
        <w:rPr>
          <w:rFonts w:ascii="Arial" w:hAnsi="Arial" w:cs="Arial"/>
          <w:sz w:val="22"/>
          <w:szCs w:val="22"/>
          <w:shd w:val="clear" w:color="auto" w:fill="FFFFFF"/>
        </w:rPr>
      </w:pPr>
      <w:r w:rsidRPr="00F77EEB">
        <w:rPr>
          <w:rFonts w:ascii="Arial" w:hAnsi="Arial" w:cs="Arial"/>
          <w:sz w:val="22"/>
          <w:szCs w:val="22"/>
        </w:rPr>
        <w:t xml:space="preserve">Plan upravljanja nesrećama velikim razmjera je urađen prema </w:t>
      </w:r>
      <w:r w:rsidRPr="00F77EEB">
        <w:rPr>
          <w:rFonts w:ascii="Arial" w:hAnsi="Arial" w:cs="Arial"/>
          <w:i/>
          <w:sz w:val="22"/>
          <w:szCs w:val="22"/>
        </w:rPr>
        <w:t>Manual for the Classification and Prioritization of Risks due to Major Accidents in Process and Related Industries k</w:t>
      </w:r>
      <w:r w:rsidRPr="00F77EEB">
        <w:rPr>
          <w:rFonts w:ascii="Arial" w:hAnsi="Arial" w:cs="Arial"/>
          <w:sz w:val="22"/>
          <w:szCs w:val="22"/>
        </w:rPr>
        <w:t xml:space="preserve">oje su objavljene </w:t>
      </w:r>
      <w:proofErr w:type="gramStart"/>
      <w:r w:rsidRPr="00F77EEB">
        <w:rPr>
          <w:rFonts w:ascii="Arial" w:hAnsi="Arial" w:cs="Arial"/>
          <w:sz w:val="22"/>
          <w:szCs w:val="22"/>
        </w:rPr>
        <w:t>od</w:t>
      </w:r>
      <w:proofErr w:type="gramEnd"/>
      <w:r w:rsidRPr="00F77EEB">
        <w:rPr>
          <w:rFonts w:ascii="Arial" w:hAnsi="Arial" w:cs="Arial"/>
          <w:sz w:val="22"/>
          <w:szCs w:val="22"/>
        </w:rPr>
        <w:t xml:space="preserve"> Agencije za atomsku energiju (International Atomic Energy Agency – IAEA). Unutrašnji plan intervenija je predan organu civilne zaštite i obavezna je izrade Spoljneg plana intervencija. Kod izračuna je uzeta gustoća naseljenosti</w:t>
      </w:r>
      <w:r w:rsidRPr="00F77EEB">
        <w:rPr>
          <w:rFonts w:ascii="Arial" w:hAnsi="Arial" w:cs="Arial"/>
          <w:sz w:val="22"/>
          <w:szCs w:val="22"/>
          <w:lang w:val="hr-HR"/>
        </w:rPr>
        <w:t xml:space="preserve"> </w:t>
      </w:r>
      <w:proofErr w:type="gramStart"/>
      <w:r w:rsidRPr="00F77EEB">
        <w:rPr>
          <w:rFonts w:ascii="Arial" w:hAnsi="Arial" w:cs="Arial"/>
          <w:sz w:val="22"/>
          <w:szCs w:val="22"/>
          <w:lang w:val="hr-HR"/>
        </w:rPr>
        <w:t>od</w:t>
      </w:r>
      <w:proofErr w:type="gramEnd"/>
      <w:r w:rsidRPr="00F77EEB">
        <w:rPr>
          <w:rFonts w:ascii="Arial" w:hAnsi="Arial" w:cs="Arial"/>
          <w:sz w:val="22"/>
          <w:szCs w:val="22"/>
          <w:lang w:val="hr-HR"/>
        </w:rPr>
        <w:t xml:space="preserve"> </w:t>
      </w:r>
      <w:r w:rsidRPr="00F77EEB">
        <w:rPr>
          <w:rFonts w:ascii="Arial" w:hAnsi="Arial" w:cs="Arial"/>
          <w:sz w:val="22"/>
          <w:szCs w:val="22"/>
        </w:rPr>
        <w:t>10 osoba/ha (10</w:t>
      </w:r>
      <w:r w:rsidRPr="00F77EEB">
        <w:rPr>
          <w:rFonts w:ascii="Arial" w:hAnsi="Arial" w:cs="Arial"/>
          <w:sz w:val="22"/>
          <w:szCs w:val="22"/>
          <w:vertAlign w:val="superscript"/>
        </w:rPr>
        <w:t>4</w:t>
      </w:r>
      <w:r w:rsidRPr="00F77EEB">
        <w:rPr>
          <w:rFonts w:ascii="Arial" w:hAnsi="Arial" w:cs="Arial"/>
          <w:sz w:val="22"/>
          <w:szCs w:val="22"/>
          <w:shd w:val="clear" w:color="auto" w:fill="FFFFFF"/>
        </w:rPr>
        <w:t>m</w:t>
      </w:r>
      <w:r w:rsidRPr="00F77EEB">
        <w:rPr>
          <w:rFonts w:ascii="Arial" w:hAnsi="Arial" w:cs="Arial"/>
          <w:sz w:val="22"/>
          <w:szCs w:val="22"/>
          <w:shd w:val="clear" w:color="auto" w:fill="FFFFFF"/>
          <w:vertAlign w:val="superscript"/>
        </w:rPr>
        <w:t>2</w:t>
      </w:r>
      <w:r w:rsidRPr="00F77EEB">
        <w:rPr>
          <w:rFonts w:ascii="Arial" w:hAnsi="Arial" w:cs="Arial"/>
          <w:sz w:val="22"/>
          <w:szCs w:val="22"/>
        </w:rPr>
        <w:t>) što iznosi 1.000 osoba/km</w:t>
      </w:r>
      <w:r w:rsidRPr="00F77EEB">
        <w:rPr>
          <w:rFonts w:ascii="Arial" w:hAnsi="Arial" w:cs="Arial"/>
          <w:sz w:val="22"/>
          <w:szCs w:val="22"/>
          <w:vertAlign w:val="superscript"/>
        </w:rPr>
        <w:t>2</w:t>
      </w:r>
      <w:r w:rsidRPr="00F77EEB">
        <w:rPr>
          <w:rFonts w:ascii="Arial" w:hAnsi="Arial" w:cs="Arial"/>
          <w:sz w:val="22"/>
          <w:szCs w:val="22"/>
        </w:rPr>
        <w:t>.</w:t>
      </w:r>
    </w:p>
    <w:p w:rsidR="00EE57DF" w:rsidRPr="00F77EEB" w:rsidRDefault="00EE57DF" w:rsidP="00EE57DF">
      <w:pPr>
        <w:spacing w:line="276" w:lineRule="auto"/>
        <w:ind w:firstLine="720"/>
        <w:jc w:val="both"/>
        <w:rPr>
          <w:rFonts w:ascii="Arial" w:hAnsi="Arial" w:cs="Arial"/>
          <w:sz w:val="22"/>
          <w:szCs w:val="22"/>
          <w:lang w:val="hr-HR"/>
        </w:rPr>
      </w:pPr>
      <w:r w:rsidRPr="00F77EEB">
        <w:rPr>
          <w:rFonts w:ascii="Arial" w:hAnsi="Arial" w:cs="Arial"/>
          <w:sz w:val="22"/>
          <w:szCs w:val="22"/>
        </w:rPr>
        <w:t xml:space="preserve">Operator je naveo da su uspješno </w:t>
      </w:r>
      <w:proofErr w:type="gramStart"/>
      <w:r w:rsidRPr="00F77EEB">
        <w:rPr>
          <w:rFonts w:ascii="Arial" w:hAnsi="Arial" w:cs="Arial"/>
          <w:sz w:val="22"/>
          <w:szCs w:val="22"/>
        </w:rPr>
        <w:t>učestvovali  u</w:t>
      </w:r>
      <w:proofErr w:type="gramEnd"/>
      <w:r w:rsidRPr="00F77EEB">
        <w:rPr>
          <w:rFonts w:ascii="Arial" w:hAnsi="Arial" w:cs="Arial"/>
          <w:sz w:val="22"/>
          <w:szCs w:val="22"/>
        </w:rPr>
        <w:t xml:space="preserve"> izradi Spoljašnjeg plana intervencija Općine Kakanj, te da će raditi na njegovom daljem unaprijeđenju u skladu sa </w:t>
      </w:r>
      <w:r w:rsidRPr="00F77EEB">
        <w:rPr>
          <w:rFonts w:ascii="Arial" w:hAnsi="Arial" w:cs="Arial"/>
          <w:sz w:val="22"/>
          <w:szCs w:val="22"/>
          <w:lang w:val="hr-HR"/>
        </w:rPr>
        <w:t>Pravilnikom o sadržaju izvještaja o stanju sigurnosti, sadržaju informacija o sigurnosnim mjerama i sadržaju unutarnjih i spoljnih planova intervencije (Službene novine Federacije BiH broj: 68/05).</w:t>
      </w:r>
    </w:p>
    <w:p w:rsidR="00EE57DF" w:rsidRPr="00F77EEB" w:rsidRDefault="00EE57DF" w:rsidP="00EE57DF">
      <w:pPr>
        <w:spacing w:line="276" w:lineRule="auto"/>
        <w:ind w:firstLine="720"/>
        <w:jc w:val="both"/>
        <w:rPr>
          <w:rFonts w:ascii="Arial" w:hAnsi="Arial" w:cs="Arial"/>
          <w:sz w:val="22"/>
          <w:szCs w:val="22"/>
        </w:rPr>
      </w:pPr>
    </w:p>
    <w:p w:rsidR="00EE57DF" w:rsidRPr="00F77EEB" w:rsidRDefault="00EE57DF" w:rsidP="00EE57DF">
      <w:pPr>
        <w:spacing w:line="276" w:lineRule="auto"/>
        <w:ind w:firstLine="720"/>
        <w:jc w:val="both"/>
        <w:rPr>
          <w:rFonts w:ascii="Arial" w:hAnsi="Arial" w:cs="Arial"/>
          <w:sz w:val="22"/>
          <w:szCs w:val="22"/>
        </w:rPr>
      </w:pPr>
      <w:r w:rsidRPr="00F77EEB">
        <w:rPr>
          <w:rFonts w:ascii="Arial" w:hAnsi="Arial" w:cs="Arial"/>
          <w:sz w:val="22"/>
          <w:szCs w:val="22"/>
        </w:rPr>
        <w:t xml:space="preserve">U vezi </w:t>
      </w:r>
      <w:proofErr w:type="gramStart"/>
      <w:r w:rsidRPr="00F77EEB">
        <w:rPr>
          <w:rFonts w:ascii="Arial" w:hAnsi="Arial" w:cs="Arial"/>
          <w:sz w:val="22"/>
          <w:szCs w:val="22"/>
        </w:rPr>
        <w:t>sa</w:t>
      </w:r>
      <w:proofErr w:type="gramEnd"/>
      <w:r w:rsidRPr="00F77EEB">
        <w:rPr>
          <w:rFonts w:ascii="Arial" w:hAnsi="Arial" w:cs="Arial"/>
          <w:sz w:val="22"/>
          <w:szCs w:val="22"/>
        </w:rPr>
        <w:t xml:space="preserve"> vašim dopisom ovo Ministarstvo će</w:t>
      </w:r>
      <w:r w:rsidRPr="00F77EEB">
        <w:rPr>
          <w:rFonts w:ascii="Arial" w:hAnsi="Arial" w:cs="Arial"/>
          <w:b/>
          <w:sz w:val="22"/>
          <w:szCs w:val="22"/>
        </w:rPr>
        <w:t xml:space="preserve"> tražiti listu aktivnosti koje je Investitor spreman poduzeti u cilju implementacije dokumentacije koja je predmet okolinske dozvole</w:t>
      </w:r>
      <w:r w:rsidRPr="00F77EEB">
        <w:rPr>
          <w:rFonts w:ascii="Arial" w:hAnsi="Arial" w:cs="Arial"/>
          <w:sz w:val="22"/>
          <w:szCs w:val="22"/>
        </w:rPr>
        <w:t>.</w:t>
      </w:r>
    </w:p>
    <w:p w:rsidR="00DD0DCF" w:rsidRPr="00F77EEB" w:rsidRDefault="00DD0DCF" w:rsidP="00E04127">
      <w:pPr>
        <w:pStyle w:val="BodyText2"/>
        <w:tabs>
          <w:tab w:val="left" w:pos="0"/>
        </w:tabs>
        <w:rPr>
          <w:rFonts w:cs="Arial"/>
          <w:szCs w:val="22"/>
        </w:rPr>
      </w:pPr>
    </w:p>
    <w:p w:rsidR="00EE57DF" w:rsidRPr="00F77EEB" w:rsidRDefault="00EE57DF" w:rsidP="00E04127">
      <w:pPr>
        <w:pStyle w:val="BodyText2"/>
        <w:tabs>
          <w:tab w:val="left" w:pos="0"/>
        </w:tabs>
        <w:rPr>
          <w:rFonts w:cs="Arial"/>
          <w:szCs w:val="22"/>
        </w:rPr>
      </w:pPr>
      <w:r w:rsidRPr="00F77EEB">
        <w:rPr>
          <w:rFonts w:cs="Arial"/>
          <w:szCs w:val="22"/>
        </w:rPr>
        <w:t xml:space="preserve">Dana 08.12.2020. </w:t>
      </w:r>
      <w:proofErr w:type="gramStart"/>
      <w:r w:rsidRPr="00F77EEB">
        <w:rPr>
          <w:rFonts w:cs="Arial"/>
          <w:szCs w:val="22"/>
        </w:rPr>
        <w:t>godine</w:t>
      </w:r>
      <w:proofErr w:type="gramEnd"/>
      <w:r w:rsidRPr="00F77EEB">
        <w:rPr>
          <w:rFonts w:cs="Arial"/>
          <w:szCs w:val="22"/>
        </w:rPr>
        <w:t xml:space="preserve"> podnosilac zahtjeva je dostavio ugovor br. 01/P-2686-II/20 </w:t>
      </w:r>
      <w:r w:rsidR="00F77EEB" w:rsidRPr="00F77EEB">
        <w:rPr>
          <w:rFonts w:cs="Arial"/>
          <w:szCs w:val="22"/>
        </w:rPr>
        <w:t>u kojem stoji</w:t>
      </w:r>
    </w:p>
    <w:p w:rsidR="00F77EEB" w:rsidRPr="00F77EEB" w:rsidRDefault="00F77EEB" w:rsidP="00E04127">
      <w:pPr>
        <w:pStyle w:val="BodyText2"/>
        <w:tabs>
          <w:tab w:val="left" w:pos="0"/>
        </w:tabs>
        <w:rPr>
          <w:rFonts w:cs="Arial"/>
          <w:szCs w:val="22"/>
        </w:rPr>
      </w:pPr>
      <w:r w:rsidRPr="00F77EEB">
        <w:rPr>
          <w:rFonts w:cs="Arial"/>
          <w:noProof/>
        </w:rPr>
        <w:lastRenderedPageBreak/>
        <w:drawing>
          <wp:inline distT="0" distB="0" distL="0" distR="0" wp14:anchorId="0ADCD574" wp14:editId="179CF7C9">
            <wp:extent cx="38481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191" t="37851" r="43632" b="44708"/>
                    <a:stretch/>
                  </pic:blipFill>
                  <pic:spPr bwMode="auto">
                    <a:xfrm>
                      <a:off x="0" y="0"/>
                      <a:ext cx="3853752" cy="1631167"/>
                    </a:xfrm>
                    <a:prstGeom prst="rect">
                      <a:avLst/>
                    </a:prstGeom>
                    <a:ln>
                      <a:noFill/>
                    </a:ln>
                    <a:extLst>
                      <a:ext uri="{53640926-AAD7-44D8-BBD7-CCE9431645EC}">
                        <a14:shadowObscured xmlns:a14="http://schemas.microsoft.com/office/drawing/2010/main"/>
                      </a:ext>
                    </a:extLst>
                  </pic:spPr>
                </pic:pic>
              </a:graphicData>
            </a:graphic>
          </wp:inline>
        </w:drawing>
      </w:r>
    </w:p>
    <w:p w:rsidR="00DD0DCF" w:rsidRPr="00F77EEB" w:rsidRDefault="00DD0DCF" w:rsidP="00DD0DCF">
      <w:pPr>
        <w:ind w:firstLine="708"/>
        <w:jc w:val="both"/>
        <w:rPr>
          <w:rFonts w:ascii="Arial" w:hAnsi="Arial" w:cs="Arial"/>
          <w:sz w:val="22"/>
          <w:szCs w:val="22"/>
          <w:lang w:val="hr-HR"/>
        </w:rPr>
      </w:pPr>
      <w:r w:rsidRPr="00F77EEB">
        <w:rPr>
          <w:rFonts w:ascii="Arial" w:hAnsi="Arial" w:cs="Arial"/>
          <w:sz w:val="22"/>
          <w:szCs w:val="22"/>
          <w:lang w:val="hr-HR"/>
        </w:rPr>
        <w:t xml:space="preserve"> </w:t>
      </w:r>
    </w:p>
    <w:p w:rsidR="00690898" w:rsidRPr="00F77EEB" w:rsidRDefault="008E7422" w:rsidP="00907D7F">
      <w:pPr>
        <w:ind w:firstLine="708"/>
        <w:jc w:val="both"/>
        <w:rPr>
          <w:rFonts w:ascii="Arial" w:hAnsi="Arial" w:cs="Arial"/>
          <w:sz w:val="22"/>
          <w:szCs w:val="22"/>
          <w:lang w:val="hr-HR"/>
        </w:rPr>
      </w:pPr>
      <w:r w:rsidRPr="00F77EEB">
        <w:rPr>
          <w:rFonts w:ascii="Arial" w:hAnsi="Arial" w:cs="Arial"/>
          <w:sz w:val="22"/>
          <w:szCs w:val="22"/>
          <w:lang w:val="hr-HR"/>
        </w:rPr>
        <w:t>Na osnovu izloženog, o</w:t>
      </w:r>
      <w:r w:rsidR="00690898" w:rsidRPr="00F77EEB">
        <w:rPr>
          <w:rFonts w:ascii="Arial" w:hAnsi="Arial" w:cs="Arial"/>
          <w:sz w:val="22"/>
          <w:szCs w:val="22"/>
          <w:lang w:val="hr-HR"/>
        </w:rPr>
        <w:t xml:space="preserve">vo Federalno ministarstvo je utvrdilo da su ispunjeni zakonom propisani uvjeti te se izdaje ovo rješenje kao što je utvrđeno u dispozitivu. </w:t>
      </w:r>
    </w:p>
    <w:p w:rsidR="00690898" w:rsidRPr="00F77EEB" w:rsidRDefault="00690898" w:rsidP="00690898">
      <w:pPr>
        <w:jc w:val="both"/>
        <w:rPr>
          <w:rFonts w:ascii="Arial" w:hAnsi="Arial" w:cs="Arial"/>
          <w:sz w:val="22"/>
          <w:szCs w:val="22"/>
          <w:lang w:val="hr-HR"/>
        </w:rPr>
      </w:pPr>
    </w:p>
    <w:p w:rsidR="00690898" w:rsidRPr="00F77EEB" w:rsidRDefault="00690898" w:rsidP="00690898">
      <w:pPr>
        <w:jc w:val="both"/>
        <w:rPr>
          <w:rFonts w:ascii="Arial" w:hAnsi="Arial" w:cs="Arial"/>
          <w:sz w:val="22"/>
          <w:szCs w:val="22"/>
          <w:lang w:val="hr-HR"/>
        </w:rPr>
      </w:pPr>
      <w:r w:rsidRPr="00F77EEB">
        <w:rPr>
          <w:rFonts w:ascii="Arial" w:hAnsi="Arial" w:cs="Arial"/>
          <w:sz w:val="22"/>
          <w:szCs w:val="22"/>
          <w:lang w:val="hr-HR"/>
        </w:rPr>
        <w:t xml:space="preserve">Ovo rješenje je konačno i protiv njega nije dopuštena žalba. </w:t>
      </w:r>
    </w:p>
    <w:p w:rsidR="00690898" w:rsidRPr="00F77EEB" w:rsidRDefault="00690898" w:rsidP="00690898">
      <w:pPr>
        <w:jc w:val="both"/>
        <w:rPr>
          <w:rFonts w:ascii="Arial" w:hAnsi="Arial" w:cs="Arial"/>
          <w:sz w:val="22"/>
          <w:szCs w:val="22"/>
          <w:lang w:val="hr-HR"/>
        </w:rPr>
      </w:pPr>
    </w:p>
    <w:p w:rsidR="00690898" w:rsidRPr="00F77EEB" w:rsidRDefault="00690898" w:rsidP="00690898">
      <w:pPr>
        <w:ind w:firstLine="720"/>
        <w:jc w:val="both"/>
        <w:rPr>
          <w:rFonts w:ascii="Arial" w:hAnsi="Arial" w:cs="Arial"/>
          <w:sz w:val="22"/>
          <w:szCs w:val="22"/>
          <w:lang w:val="hr-HR"/>
        </w:rPr>
      </w:pPr>
      <w:r w:rsidRPr="00F77EEB">
        <w:rPr>
          <w:rFonts w:ascii="Arial" w:hAnsi="Arial" w:cs="Arial"/>
          <w:sz w:val="22"/>
          <w:szCs w:val="22"/>
          <w:lang w:val="hr-HR"/>
        </w:rPr>
        <w:t>Protiv ovog rješenja može se pokrenuti upravni spor podnošenjem tužbe kod Kantonalnog suda  u Sarajevu u roku od 30 dana od dana prijema rješenja. Tužba se podnosi u dva istovjetna primjerka i uz istu se prilaže ovo rješenje u originalu ili ovjerenom prijepisu.</w:t>
      </w:r>
    </w:p>
    <w:p w:rsidR="00690898" w:rsidRPr="00F77EEB" w:rsidRDefault="00690898" w:rsidP="00690898">
      <w:pPr>
        <w:jc w:val="center"/>
        <w:rPr>
          <w:rFonts w:ascii="Arial" w:hAnsi="Arial" w:cs="Arial"/>
          <w:b/>
          <w:sz w:val="22"/>
          <w:szCs w:val="22"/>
          <w:lang w:val="hr-HR"/>
        </w:rPr>
      </w:pPr>
      <w:r w:rsidRPr="00F77EEB">
        <w:rPr>
          <w:rFonts w:ascii="Arial" w:hAnsi="Arial" w:cs="Arial"/>
          <w:b/>
          <w:sz w:val="22"/>
          <w:szCs w:val="22"/>
          <w:lang w:val="hr-HR"/>
        </w:rPr>
        <w:tab/>
      </w:r>
    </w:p>
    <w:p w:rsidR="00690898" w:rsidRPr="00F77EEB" w:rsidRDefault="00690898" w:rsidP="00690898">
      <w:pPr>
        <w:ind w:firstLine="720"/>
        <w:jc w:val="both"/>
        <w:rPr>
          <w:rFonts w:ascii="Arial" w:hAnsi="Arial" w:cs="Arial"/>
          <w:sz w:val="22"/>
          <w:szCs w:val="22"/>
          <w:lang w:val="hr-HR"/>
        </w:rPr>
      </w:pPr>
      <w:r w:rsidRPr="00F77EEB">
        <w:rPr>
          <w:rFonts w:ascii="Arial" w:hAnsi="Arial" w:cs="Arial"/>
          <w:sz w:val="22"/>
          <w:szCs w:val="22"/>
          <w:lang w:val="hr-HR"/>
        </w:rPr>
        <w:t xml:space="preserve">U skladu sa Zakonom o federalnim upravnim taksama i tarifi federalnih upravnih taksi („Službene novine Federacije BiH“ broj: 43/13) podnosilac zahtjeva je uplatio 250,00 KM na budžetski račun kod UNION banke d.d. Sarajevo.  </w:t>
      </w:r>
    </w:p>
    <w:p w:rsidR="00DD0DCF" w:rsidRPr="00F77EEB" w:rsidRDefault="00DD0DCF" w:rsidP="00690898">
      <w:pPr>
        <w:ind w:firstLine="720"/>
        <w:jc w:val="both"/>
        <w:rPr>
          <w:rFonts w:ascii="Arial" w:hAnsi="Arial" w:cs="Arial"/>
          <w:sz w:val="22"/>
          <w:szCs w:val="22"/>
          <w:lang w:val="hr-HR"/>
        </w:rPr>
      </w:pPr>
    </w:p>
    <w:p w:rsidR="00DD0DCF" w:rsidRPr="00F77EEB" w:rsidRDefault="00DD0DCF" w:rsidP="00690898">
      <w:pPr>
        <w:ind w:firstLine="720"/>
        <w:jc w:val="both"/>
        <w:rPr>
          <w:rFonts w:ascii="Arial" w:hAnsi="Arial" w:cs="Arial"/>
          <w:sz w:val="22"/>
          <w:szCs w:val="22"/>
          <w:lang w:val="hr-HR"/>
        </w:rPr>
      </w:pPr>
    </w:p>
    <w:p w:rsidR="00690898" w:rsidRPr="00F77EEB" w:rsidRDefault="00690898" w:rsidP="00690898">
      <w:pPr>
        <w:pStyle w:val="BodyText"/>
        <w:jc w:val="both"/>
        <w:rPr>
          <w:rFonts w:cs="Arial"/>
          <w:szCs w:val="22"/>
        </w:rPr>
      </w:pPr>
    </w:p>
    <w:p w:rsidR="00690898" w:rsidRPr="00F77EEB" w:rsidRDefault="00690898" w:rsidP="00690898">
      <w:pPr>
        <w:pStyle w:val="BodyText"/>
        <w:ind w:left="6480"/>
        <w:rPr>
          <w:rFonts w:cs="Arial"/>
          <w:szCs w:val="22"/>
        </w:rPr>
      </w:pPr>
      <w:r w:rsidRPr="00F77EEB">
        <w:rPr>
          <w:rFonts w:cs="Arial"/>
          <w:b/>
          <w:szCs w:val="22"/>
        </w:rPr>
        <w:t xml:space="preserve">   M I N I S T R I C A</w:t>
      </w:r>
    </w:p>
    <w:p w:rsidR="00690898" w:rsidRPr="00F77EEB" w:rsidRDefault="00690898" w:rsidP="00690898">
      <w:pPr>
        <w:rPr>
          <w:rFonts w:ascii="Arial" w:hAnsi="Arial" w:cs="Arial"/>
          <w:b/>
          <w:sz w:val="22"/>
          <w:szCs w:val="22"/>
          <w:lang w:val="hr-HR"/>
        </w:rPr>
      </w:pPr>
    </w:p>
    <w:p w:rsidR="00690898" w:rsidRPr="00F77EEB" w:rsidRDefault="00192BA4" w:rsidP="008E7422">
      <w:pPr>
        <w:rPr>
          <w:rFonts w:ascii="Arial" w:hAnsi="Arial" w:cs="Arial"/>
          <w:b/>
          <w:sz w:val="22"/>
          <w:szCs w:val="22"/>
          <w:lang w:val="hr-HR"/>
        </w:rPr>
      </w:pPr>
      <w:r w:rsidRPr="00F77EEB">
        <w:rPr>
          <w:rFonts w:ascii="Arial" w:hAnsi="Arial" w:cs="Arial"/>
          <w:b/>
          <w:sz w:val="22"/>
          <w:szCs w:val="22"/>
          <w:lang w:val="hr-HR"/>
        </w:rPr>
        <w:t xml:space="preserve"> </w:t>
      </w:r>
      <w:r w:rsidRPr="00F77EEB">
        <w:rPr>
          <w:rFonts w:ascii="Arial" w:hAnsi="Arial" w:cs="Arial"/>
          <w:b/>
          <w:sz w:val="22"/>
          <w:szCs w:val="22"/>
          <w:lang w:val="hr-HR"/>
        </w:rPr>
        <w:tab/>
      </w:r>
      <w:r w:rsidRPr="00F77EEB">
        <w:rPr>
          <w:rFonts w:ascii="Arial" w:hAnsi="Arial" w:cs="Arial"/>
          <w:b/>
          <w:sz w:val="22"/>
          <w:szCs w:val="22"/>
          <w:lang w:val="hr-HR"/>
        </w:rPr>
        <w:tab/>
      </w:r>
      <w:r w:rsidRPr="00F77EEB">
        <w:rPr>
          <w:rFonts w:ascii="Arial" w:hAnsi="Arial" w:cs="Arial"/>
          <w:b/>
          <w:sz w:val="22"/>
          <w:szCs w:val="22"/>
          <w:lang w:val="hr-HR"/>
        </w:rPr>
        <w:tab/>
      </w:r>
      <w:r w:rsidRPr="00F77EEB">
        <w:rPr>
          <w:rFonts w:ascii="Arial" w:hAnsi="Arial" w:cs="Arial"/>
          <w:b/>
          <w:sz w:val="22"/>
          <w:szCs w:val="22"/>
          <w:lang w:val="hr-HR"/>
        </w:rPr>
        <w:tab/>
      </w:r>
      <w:r w:rsidRPr="00F77EEB">
        <w:rPr>
          <w:rFonts w:ascii="Arial" w:hAnsi="Arial" w:cs="Arial"/>
          <w:b/>
          <w:sz w:val="22"/>
          <w:szCs w:val="22"/>
          <w:lang w:val="hr-HR"/>
        </w:rPr>
        <w:tab/>
      </w:r>
      <w:r w:rsidRPr="00F77EEB">
        <w:rPr>
          <w:rFonts w:ascii="Arial" w:hAnsi="Arial" w:cs="Arial"/>
          <w:b/>
          <w:sz w:val="22"/>
          <w:szCs w:val="22"/>
          <w:lang w:val="hr-HR"/>
        </w:rPr>
        <w:tab/>
      </w:r>
      <w:r w:rsidRPr="00F77EEB">
        <w:rPr>
          <w:rFonts w:ascii="Arial" w:hAnsi="Arial" w:cs="Arial"/>
          <w:b/>
          <w:sz w:val="22"/>
          <w:szCs w:val="22"/>
          <w:lang w:val="hr-HR"/>
        </w:rPr>
        <w:tab/>
      </w:r>
      <w:r w:rsidRPr="00F77EEB">
        <w:rPr>
          <w:rFonts w:ascii="Arial" w:hAnsi="Arial" w:cs="Arial"/>
          <w:b/>
          <w:sz w:val="22"/>
          <w:szCs w:val="22"/>
          <w:lang w:val="hr-HR"/>
        </w:rPr>
        <w:tab/>
      </w:r>
      <w:r w:rsidRPr="00F77EEB">
        <w:rPr>
          <w:rFonts w:ascii="Arial" w:hAnsi="Arial" w:cs="Arial"/>
          <w:b/>
          <w:sz w:val="22"/>
          <w:szCs w:val="22"/>
          <w:lang w:val="hr-HR"/>
        </w:rPr>
        <w:tab/>
        <w:t xml:space="preserve">      dr. Edita Đ</w:t>
      </w:r>
      <w:r w:rsidR="008E7422" w:rsidRPr="00F77EEB">
        <w:rPr>
          <w:rFonts w:ascii="Arial" w:hAnsi="Arial" w:cs="Arial"/>
          <w:b/>
          <w:sz w:val="22"/>
          <w:szCs w:val="22"/>
          <w:lang w:val="hr-HR"/>
        </w:rPr>
        <w:t>apo</w:t>
      </w:r>
    </w:p>
    <w:p w:rsidR="00690898" w:rsidRPr="00F77EEB" w:rsidRDefault="00690898" w:rsidP="00690898">
      <w:pPr>
        <w:jc w:val="both"/>
        <w:rPr>
          <w:rFonts w:ascii="Arial" w:hAnsi="Arial" w:cs="Arial"/>
          <w:sz w:val="22"/>
          <w:szCs w:val="22"/>
          <w:lang w:val="hr-HR"/>
        </w:rPr>
      </w:pPr>
    </w:p>
    <w:p w:rsidR="00690898" w:rsidRPr="00F77EEB" w:rsidRDefault="00690898" w:rsidP="00690898">
      <w:pPr>
        <w:jc w:val="both"/>
        <w:rPr>
          <w:rFonts w:ascii="Arial" w:hAnsi="Arial" w:cs="Arial"/>
          <w:sz w:val="22"/>
          <w:szCs w:val="22"/>
          <w:lang w:val="hr-HR"/>
        </w:rPr>
      </w:pPr>
    </w:p>
    <w:p w:rsidR="00690898" w:rsidRPr="00F77EEB" w:rsidRDefault="00690898" w:rsidP="00690898">
      <w:pPr>
        <w:jc w:val="both"/>
        <w:rPr>
          <w:rFonts w:ascii="Arial" w:hAnsi="Arial" w:cs="Arial"/>
          <w:sz w:val="22"/>
          <w:szCs w:val="22"/>
          <w:lang w:val="hr-HR"/>
        </w:rPr>
      </w:pPr>
    </w:p>
    <w:p w:rsidR="00690898" w:rsidRPr="00F77EEB" w:rsidRDefault="00690898" w:rsidP="00690898">
      <w:pPr>
        <w:jc w:val="both"/>
        <w:rPr>
          <w:rFonts w:ascii="Arial" w:hAnsi="Arial" w:cs="Arial"/>
          <w:i/>
          <w:sz w:val="22"/>
          <w:szCs w:val="22"/>
          <w:lang w:val="hr-HR"/>
        </w:rPr>
      </w:pPr>
      <w:r w:rsidRPr="00F77EEB">
        <w:rPr>
          <w:rFonts w:ascii="Arial" w:hAnsi="Arial" w:cs="Arial"/>
          <w:i/>
          <w:sz w:val="22"/>
          <w:szCs w:val="22"/>
          <w:lang w:val="hr-HR"/>
        </w:rPr>
        <w:t>Dostaviti:</w:t>
      </w:r>
    </w:p>
    <w:p w:rsidR="00690898" w:rsidRPr="00F77EEB" w:rsidRDefault="00690898" w:rsidP="00690898">
      <w:pPr>
        <w:numPr>
          <w:ilvl w:val="0"/>
          <w:numId w:val="2"/>
        </w:numPr>
        <w:jc w:val="both"/>
        <w:rPr>
          <w:rFonts w:ascii="Arial" w:hAnsi="Arial" w:cs="Arial"/>
          <w:i/>
          <w:sz w:val="22"/>
          <w:szCs w:val="22"/>
          <w:lang w:val="hr-HR"/>
        </w:rPr>
      </w:pPr>
      <w:r w:rsidRPr="00F77EEB">
        <w:rPr>
          <w:rFonts w:ascii="Arial" w:hAnsi="Arial" w:cs="Arial"/>
          <w:i/>
          <w:sz w:val="22"/>
          <w:szCs w:val="22"/>
          <w:lang w:val="hr-HR"/>
        </w:rPr>
        <w:t xml:space="preserve"> „PLAMA-PUR BH“</w:t>
      </w:r>
      <w:r w:rsidRPr="00F77EEB">
        <w:rPr>
          <w:rFonts w:ascii="Arial" w:hAnsi="Arial" w:cs="Arial"/>
          <w:i/>
          <w:sz w:val="22"/>
          <w:szCs w:val="22"/>
          <w:lang w:val="pl-PL"/>
        </w:rPr>
        <w:t xml:space="preserve"> d.o.o., Kakanj</w:t>
      </w:r>
      <w:r w:rsidRPr="00F77EEB">
        <w:rPr>
          <w:rFonts w:ascii="Arial" w:hAnsi="Arial" w:cs="Arial"/>
          <w:i/>
          <w:sz w:val="22"/>
          <w:szCs w:val="22"/>
          <w:lang w:val="hr-HR"/>
        </w:rPr>
        <w:t xml:space="preserve"> </w:t>
      </w:r>
    </w:p>
    <w:p w:rsidR="00690898" w:rsidRPr="00F77EEB" w:rsidRDefault="00690898" w:rsidP="00690898">
      <w:pPr>
        <w:numPr>
          <w:ilvl w:val="0"/>
          <w:numId w:val="2"/>
        </w:numPr>
        <w:jc w:val="both"/>
        <w:rPr>
          <w:rFonts w:ascii="Arial" w:hAnsi="Arial" w:cs="Arial"/>
          <w:i/>
          <w:sz w:val="22"/>
          <w:szCs w:val="22"/>
          <w:lang w:val="hr-HR"/>
        </w:rPr>
      </w:pPr>
      <w:r w:rsidRPr="00F77EEB">
        <w:rPr>
          <w:rFonts w:ascii="Arial" w:hAnsi="Arial" w:cs="Arial"/>
          <w:i/>
          <w:sz w:val="22"/>
          <w:szCs w:val="22"/>
          <w:lang w:val="hr-HR"/>
        </w:rPr>
        <w:t>Općina Kakanj</w:t>
      </w:r>
    </w:p>
    <w:p w:rsidR="00690898" w:rsidRPr="00F77EEB" w:rsidRDefault="00690898" w:rsidP="00690898">
      <w:pPr>
        <w:numPr>
          <w:ilvl w:val="0"/>
          <w:numId w:val="2"/>
        </w:numPr>
        <w:jc w:val="both"/>
        <w:rPr>
          <w:rFonts w:ascii="Arial" w:hAnsi="Arial" w:cs="Arial"/>
          <w:i/>
          <w:sz w:val="22"/>
          <w:szCs w:val="22"/>
          <w:lang w:val="pl-PL"/>
        </w:rPr>
      </w:pPr>
      <w:r w:rsidRPr="00F77EEB">
        <w:rPr>
          <w:rFonts w:ascii="Arial" w:hAnsi="Arial" w:cs="Arial"/>
          <w:i/>
          <w:sz w:val="22"/>
          <w:szCs w:val="22"/>
          <w:lang w:val="pl-PL"/>
        </w:rPr>
        <w:t>Federalna uprava za inspekcijske poslove</w:t>
      </w:r>
    </w:p>
    <w:p w:rsidR="00690898" w:rsidRPr="00F77EEB" w:rsidRDefault="00690898" w:rsidP="00690898">
      <w:pPr>
        <w:numPr>
          <w:ilvl w:val="0"/>
          <w:numId w:val="2"/>
        </w:numPr>
        <w:jc w:val="both"/>
        <w:rPr>
          <w:rFonts w:ascii="Arial" w:hAnsi="Arial" w:cs="Arial"/>
          <w:i/>
          <w:sz w:val="22"/>
          <w:szCs w:val="22"/>
          <w:lang w:val="pl-PL"/>
        </w:rPr>
      </w:pPr>
      <w:r w:rsidRPr="00F77EEB">
        <w:rPr>
          <w:rFonts w:ascii="Arial" w:hAnsi="Arial" w:cs="Arial"/>
          <w:i/>
          <w:sz w:val="22"/>
          <w:szCs w:val="22"/>
          <w:lang w:val="pl-PL"/>
        </w:rPr>
        <w:t>Ministarstvo za prostorno uređenje, promet i</w:t>
      </w:r>
    </w:p>
    <w:p w:rsidR="00690898" w:rsidRPr="00F77EEB" w:rsidRDefault="00690898" w:rsidP="00690898">
      <w:pPr>
        <w:ind w:left="360"/>
        <w:jc w:val="both"/>
        <w:rPr>
          <w:rFonts w:ascii="Arial" w:hAnsi="Arial" w:cs="Arial"/>
          <w:i/>
          <w:sz w:val="22"/>
          <w:szCs w:val="22"/>
          <w:lang w:val="pl-PL"/>
        </w:rPr>
      </w:pPr>
      <w:r w:rsidRPr="00F77EEB">
        <w:rPr>
          <w:rFonts w:ascii="Arial" w:hAnsi="Arial" w:cs="Arial"/>
          <w:i/>
          <w:sz w:val="22"/>
          <w:szCs w:val="22"/>
          <w:lang w:val="pl-PL"/>
        </w:rPr>
        <w:t>komunikacije i zaštitu okoline ZDK</w:t>
      </w:r>
    </w:p>
    <w:p w:rsidR="00690898" w:rsidRPr="00F77EEB" w:rsidRDefault="00690898" w:rsidP="00690898">
      <w:pPr>
        <w:numPr>
          <w:ilvl w:val="0"/>
          <w:numId w:val="2"/>
        </w:numPr>
        <w:jc w:val="both"/>
        <w:rPr>
          <w:rFonts w:ascii="Arial" w:hAnsi="Arial" w:cs="Arial"/>
          <w:i/>
          <w:sz w:val="22"/>
          <w:szCs w:val="22"/>
          <w:lang w:val="pl-PL"/>
        </w:rPr>
      </w:pPr>
      <w:r w:rsidRPr="00F77EEB">
        <w:rPr>
          <w:rFonts w:ascii="Arial" w:hAnsi="Arial" w:cs="Arial"/>
          <w:i/>
          <w:sz w:val="22"/>
          <w:szCs w:val="22"/>
          <w:lang w:val="pl-PL"/>
        </w:rPr>
        <w:t>Dokumentaciji</w:t>
      </w:r>
    </w:p>
    <w:p w:rsidR="00690898" w:rsidRPr="00F77EEB" w:rsidRDefault="00690898" w:rsidP="00690898">
      <w:pPr>
        <w:numPr>
          <w:ilvl w:val="0"/>
          <w:numId w:val="2"/>
        </w:numPr>
        <w:jc w:val="both"/>
        <w:rPr>
          <w:rFonts w:ascii="Arial" w:hAnsi="Arial" w:cs="Arial"/>
          <w:i/>
          <w:sz w:val="22"/>
          <w:szCs w:val="22"/>
          <w:lang w:val="pl-PL"/>
        </w:rPr>
      </w:pPr>
      <w:r w:rsidRPr="00F77EEB">
        <w:rPr>
          <w:rFonts w:ascii="Arial" w:hAnsi="Arial" w:cs="Arial"/>
          <w:i/>
          <w:sz w:val="22"/>
          <w:szCs w:val="22"/>
          <w:lang w:val="pl-PL"/>
        </w:rPr>
        <w:t xml:space="preserve">Arhivi  </w:t>
      </w:r>
    </w:p>
    <w:sectPr w:rsidR="00690898" w:rsidRPr="00F77EEB" w:rsidSect="00263E90">
      <w:headerReference w:type="default" r:id="rId10"/>
      <w:footerReference w:type="even" r:id="rId11"/>
      <w:footerReference w:type="default" r:id="rId12"/>
      <w:pgSz w:w="11907" w:h="16840" w:code="9"/>
      <w:pgMar w:top="993" w:right="1134" w:bottom="851" w:left="1418" w:header="0" w:footer="88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F3" w:rsidRDefault="00135FF3">
      <w:r>
        <w:separator/>
      </w:r>
    </w:p>
  </w:endnote>
  <w:endnote w:type="continuationSeparator" w:id="0">
    <w:p w:rsidR="00135FF3" w:rsidRDefault="0013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C-Palatino">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AC" w:rsidRDefault="00957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1AC" w:rsidRDefault="00135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17" w:rsidRPr="000802EF" w:rsidRDefault="009572E9" w:rsidP="00BE0E17">
    <w:pPr>
      <w:jc w:val="center"/>
      <w:rPr>
        <w:rFonts w:ascii="Arial" w:hAnsi="Arial" w:cs="Arial"/>
        <w:sz w:val="16"/>
        <w:szCs w:val="16"/>
        <w:lang w:val="hr-BA"/>
      </w:rPr>
    </w:pPr>
    <w:r w:rsidRPr="00192BA4">
      <w:rPr>
        <w:rFonts w:ascii="Arial" w:hAnsi="Arial" w:cs="Arial"/>
        <w:sz w:val="16"/>
        <w:szCs w:val="16"/>
        <w:lang w:val="hr-BA"/>
      </w:rPr>
      <w:t xml:space="preserve">Ul. </w:t>
    </w:r>
    <w:r w:rsidR="00192BA4" w:rsidRPr="00192BA4">
      <w:rPr>
        <w:rFonts w:ascii="Arial" w:hAnsi="Arial" w:cs="Arial"/>
        <w:sz w:val="16"/>
        <w:szCs w:val="16"/>
        <w:lang w:val="hr-BA"/>
      </w:rPr>
      <w:t>Hamdije Čemerlića</w:t>
    </w:r>
    <w:r w:rsidRPr="00192BA4">
      <w:rPr>
        <w:rFonts w:ascii="Arial" w:hAnsi="Arial" w:cs="Arial"/>
        <w:sz w:val="16"/>
        <w:szCs w:val="16"/>
        <w:lang w:val="hr-BA"/>
      </w:rPr>
      <w:t xml:space="preserve"> br.</w:t>
    </w:r>
    <w:r w:rsidRPr="000802EF">
      <w:rPr>
        <w:rFonts w:ascii="Arial" w:hAnsi="Arial" w:cs="Arial"/>
        <w:sz w:val="16"/>
        <w:szCs w:val="16"/>
        <w:lang w:val="hr-BA"/>
      </w:rPr>
      <w:t>2, 71 000 Sarajevo, telefon   00 387 33 726 700, telefax 00 387 33 726 747,</w:t>
    </w:r>
  </w:p>
  <w:p w:rsidR="00BE0E17" w:rsidRPr="006E4528" w:rsidRDefault="009572E9" w:rsidP="00BE0E17">
    <w:pPr>
      <w:pStyle w:val="Footer"/>
      <w:framePr w:wrap="around" w:vAnchor="text" w:hAnchor="page" w:x="10531" w:y="-198"/>
      <w:rPr>
        <w:rStyle w:val="PageNumber"/>
        <w:rFonts w:ascii="Arial" w:hAnsi="Arial" w:cs="Arial"/>
      </w:rPr>
    </w:pPr>
    <w:r w:rsidRPr="006E4528">
      <w:rPr>
        <w:rStyle w:val="PageNumber"/>
        <w:rFonts w:ascii="Arial" w:hAnsi="Arial" w:cs="Arial"/>
      </w:rPr>
      <w:fldChar w:fldCharType="begin"/>
    </w:r>
    <w:r w:rsidRPr="006E4528">
      <w:rPr>
        <w:rStyle w:val="PageNumber"/>
        <w:rFonts w:ascii="Arial" w:hAnsi="Arial" w:cs="Arial"/>
      </w:rPr>
      <w:instrText xml:space="preserve">PAGE  </w:instrText>
    </w:r>
    <w:r w:rsidRPr="006E4528">
      <w:rPr>
        <w:rStyle w:val="PageNumber"/>
        <w:rFonts w:ascii="Arial" w:hAnsi="Arial" w:cs="Arial"/>
      </w:rPr>
      <w:fldChar w:fldCharType="separate"/>
    </w:r>
    <w:r w:rsidR="00ED0F0A">
      <w:rPr>
        <w:rStyle w:val="PageNumber"/>
        <w:rFonts w:ascii="Arial" w:hAnsi="Arial" w:cs="Arial"/>
        <w:noProof/>
      </w:rPr>
      <w:t>9</w:t>
    </w:r>
    <w:r w:rsidRPr="006E4528">
      <w:rPr>
        <w:rStyle w:val="PageNumber"/>
        <w:rFonts w:ascii="Arial" w:hAnsi="Arial" w:cs="Arial"/>
      </w:rPr>
      <w:fldChar w:fldCharType="end"/>
    </w:r>
  </w:p>
  <w:p w:rsidR="009C11AC" w:rsidRDefault="009572E9" w:rsidP="00BE0E17">
    <w:pPr>
      <w:pStyle w:val="Footer"/>
      <w:ind w:right="360"/>
      <w:jc w:val="center"/>
      <w:rPr>
        <w:rFonts w:ascii="Arial" w:hAnsi="Arial"/>
        <w:sz w:val="16"/>
      </w:rPr>
    </w:pPr>
    <w:r w:rsidRPr="000802EF">
      <w:rPr>
        <w:rFonts w:ascii="Arial" w:hAnsi="Arial" w:cs="Arial"/>
        <w:sz w:val="16"/>
        <w:szCs w:val="16"/>
        <w:lang w:val="hr-BA"/>
      </w:rPr>
      <w:t xml:space="preserve">e-mail: </w:t>
    </w:r>
    <w:hyperlink r:id="rId1" w:history="1">
      <w:r w:rsidRPr="000802EF">
        <w:rPr>
          <w:rStyle w:val="Hyperlink"/>
          <w:rFonts w:ascii="Arial" w:hAnsi="Arial" w:cs="Arial"/>
          <w:sz w:val="16"/>
          <w:szCs w:val="16"/>
          <w:lang w:val="hr-BA"/>
        </w:rPr>
        <w:t>fmoits@bih.net.ba</w:t>
      </w:r>
    </w:hyperlink>
    <w:r w:rsidRPr="000802EF">
      <w:rPr>
        <w:rFonts w:ascii="Arial" w:hAnsi="Arial" w:cs="Arial"/>
        <w:sz w:val="16"/>
        <w:szCs w:val="16"/>
        <w:lang w:val="hr-BA"/>
      </w:rPr>
      <w:t>, www.fmoit.gov.ba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F3" w:rsidRDefault="00135FF3">
      <w:r>
        <w:separator/>
      </w:r>
    </w:p>
  </w:footnote>
  <w:footnote w:type="continuationSeparator" w:id="0">
    <w:p w:rsidR="00135FF3" w:rsidRDefault="0013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5B" w:rsidRDefault="00135FF3">
    <w:pPr>
      <w:pStyle w:val="Header"/>
      <w:rPr>
        <w:noProof/>
        <w:szCs w:val="24"/>
      </w:rPr>
    </w:pPr>
  </w:p>
  <w:p w:rsidR="0092255B" w:rsidRDefault="00135FF3">
    <w:pPr>
      <w:pStyle w:val="Header"/>
      <w:rPr>
        <w:noProof/>
        <w:szCs w:val="24"/>
      </w:rPr>
    </w:pPr>
  </w:p>
  <w:p w:rsidR="0092255B" w:rsidRDefault="00135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140"/>
    <w:multiLevelType w:val="hybridMultilevel"/>
    <w:tmpl w:val="F21E2C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9B92C89"/>
    <w:multiLevelType w:val="hybridMultilevel"/>
    <w:tmpl w:val="418E3842"/>
    <w:lvl w:ilvl="0" w:tplc="2C949D04">
      <w:start w:val="1"/>
      <w:numFmt w:val="decimal"/>
      <w:lvlText w:val="%1."/>
      <w:lvlJc w:val="left"/>
      <w:pPr>
        <w:ind w:left="720" w:hanging="360"/>
      </w:pPr>
      <w:rPr>
        <w:rFonts w:ascii="Courier New" w:hAnsi="Courier New" w:cs="Courier New"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CAB30C1"/>
    <w:multiLevelType w:val="hybridMultilevel"/>
    <w:tmpl w:val="4C26B0B4"/>
    <w:lvl w:ilvl="0" w:tplc="141A0001">
      <w:start w:val="1"/>
      <w:numFmt w:val="bullet"/>
      <w:lvlText w:val=""/>
      <w:lvlJc w:val="left"/>
      <w:pPr>
        <w:ind w:left="720" w:hanging="360"/>
      </w:pPr>
      <w:rPr>
        <w:rFonts w:ascii="Symbol" w:hAnsi="Symbol"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EC7419"/>
    <w:multiLevelType w:val="hybridMultilevel"/>
    <w:tmpl w:val="6180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F12"/>
    <w:multiLevelType w:val="hybridMultilevel"/>
    <w:tmpl w:val="11A404D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FF41235"/>
    <w:multiLevelType w:val="hybridMultilevel"/>
    <w:tmpl w:val="6066818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440AC9"/>
    <w:multiLevelType w:val="hybridMultilevel"/>
    <w:tmpl w:val="3708AE5C"/>
    <w:lvl w:ilvl="0" w:tplc="0409000F">
      <w:start w:val="1"/>
      <w:numFmt w:val="decimal"/>
      <w:lvlText w:val="%1."/>
      <w:lvlJc w:val="left"/>
      <w:pPr>
        <w:tabs>
          <w:tab w:val="num" w:pos="720"/>
        </w:tabs>
        <w:ind w:left="720" w:hanging="360"/>
      </w:pPr>
    </w:lvl>
    <w:lvl w:ilvl="1" w:tplc="AEA0E04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E4A67"/>
    <w:multiLevelType w:val="hybridMultilevel"/>
    <w:tmpl w:val="0F50E2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2397E89"/>
    <w:multiLevelType w:val="hybridMultilevel"/>
    <w:tmpl w:val="3BE40400"/>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38431A9F"/>
    <w:multiLevelType w:val="hybridMultilevel"/>
    <w:tmpl w:val="E8EC30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C084620"/>
    <w:multiLevelType w:val="hybridMultilevel"/>
    <w:tmpl w:val="1E90D876"/>
    <w:lvl w:ilvl="0" w:tplc="2D9E769E">
      <w:start w:val="1"/>
      <w:numFmt w:val="bullet"/>
      <w:lvlText w:val="-"/>
      <w:lvlJc w:val="left"/>
      <w:pPr>
        <w:ind w:left="2160" w:hanging="360"/>
      </w:pPr>
      <w:rPr>
        <w:rFonts w:ascii="Arial" w:eastAsia="Times New Roman" w:hAnsi="Arial" w:cs="Arial" w:hint="default"/>
      </w:rPr>
    </w:lvl>
    <w:lvl w:ilvl="1" w:tplc="141A0003" w:tentative="1">
      <w:start w:val="1"/>
      <w:numFmt w:val="bullet"/>
      <w:lvlText w:val="o"/>
      <w:lvlJc w:val="left"/>
      <w:pPr>
        <w:ind w:left="2880" w:hanging="360"/>
      </w:pPr>
      <w:rPr>
        <w:rFonts w:ascii="Courier New" w:hAnsi="Courier New" w:cs="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cs="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cs="Courier New" w:hint="default"/>
      </w:rPr>
    </w:lvl>
    <w:lvl w:ilvl="8" w:tplc="141A0005" w:tentative="1">
      <w:start w:val="1"/>
      <w:numFmt w:val="bullet"/>
      <w:lvlText w:val=""/>
      <w:lvlJc w:val="left"/>
      <w:pPr>
        <w:ind w:left="7920" w:hanging="360"/>
      </w:pPr>
      <w:rPr>
        <w:rFonts w:ascii="Wingdings" w:hAnsi="Wingdings" w:hint="default"/>
      </w:rPr>
    </w:lvl>
  </w:abstractNum>
  <w:abstractNum w:abstractNumId="11" w15:restartNumberingAfterBreak="0">
    <w:nsid w:val="3E162567"/>
    <w:multiLevelType w:val="hybridMultilevel"/>
    <w:tmpl w:val="B674394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9003883"/>
    <w:multiLevelType w:val="multilevel"/>
    <w:tmpl w:val="85B0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3947F5"/>
    <w:multiLevelType w:val="hybridMultilevel"/>
    <w:tmpl w:val="AE8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23630E"/>
    <w:multiLevelType w:val="hybridMultilevel"/>
    <w:tmpl w:val="D17AD8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61771B5"/>
    <w:multiLevelType w:val="hybridMultilevel"/>
    <w:tmpl w:val="FF0E7FDA"/>
    <w:lvl w:ilvl="0" w:tplc="08090001">
      <w:start w:val="1"/>
      <w:numFmt w:val="bullet"/>
      <w:lvlText w:val=""/>
      <w:lvlJc w:val="left"/>
      <w:pPr>
        <w:tabs>
          <w:tab w:val="num" w:pos="1776"/>
        </w:tabs>
        <w:ind w:left="1776" w:hanging="360"/>
      </w:pPr>
      <w:rPr>
        <w:rFonts w:ascii="Symbol" w:hAnsi="Symbol" w:hint="default"/>
      </w:rPr>
    </w:lvl>
    <w:lvl w:ilvl="1" w:tplc="AEA0E048">
      <w:start w:val="1"/>
      <w:numFmt w:val="bullet"/>
      <w:lvlText w:val="-"/>
      <w:lvlJc w:val="left"/>
      <w:pPr>
        <w:tabs>
          <w:tab w:val="num" w:pos="2496"/>
        </w:tabs>
        <w:ind w:left="2496" w:hanging="360"/>
      </w:pPr>
      <w:rPr>
        <w:rFonts w:ascii="Times New Roman" w:eastAsia="Times New Roman" w:hAnsi="Times New Roman" w:cs="Times New Roman" w:hint="default"/>
      </w:rPr>
    </w:lvl>
    <w:lvl w:ilvl="2" w:tplc="0409000F">
      <w:start w:val="1"/>
      <w:numFmt w:val="decimal"/>
      <w:lvlText w:val="%3."/>
      <w:lvlJc w:val="left"/>
      <w:pPr>
        <w:tabs>
          <w:tab w:val="num" w:pos="3396"/>
        </w:tabs>
        <w:ind w:left="3396" w:hanging="36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6"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A036F51"/>
    <w:multiLevelType w:val="hybridMultilevel"/>
    <w:tmpl w:val="E43C4E5C"/>
    <w:lvl w:ilvl="0" w:tplc="0409000F">
      <w:start w:val="1"/>
      <w:numFmt w:val="decimal"/>
      <w:lvlText w:val="%1."/>
      <w:lvlJc w:val="left"/>
      <w:pPr>
        <w:tabs>
          <w:tab w:val="num" w:pos="720"/>
        </w:tabs>
        <w:ind w:left="720" w:hanging="360"/>
      </w:pPr>
      <w:rPr>
        <w:rFonts w:hint="default"/>
      </w:rPr>
    </w:lvl>
    <w:lvl w:ilvl="1" w:tplc="A6FEE34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AC231A"/>
    <w:multiLevelType w:val="multilevel"/>
    <w:tmpl w:val="DC88F4A6"/>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998" w:hanging="144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3342" w:hanging="2520"/>
      </w:pPr>
      <w:rPr>
        <w:rFonts w:hint="default"/>
      </w:rPr>
    </w:lvl>
    <w:lvl w:ilvl="8">
      <w:start w:val="1"/>
      <w:numFmt w:val="decimal"/>
      <w:isLgl/>
      <w:lvlText w:val="%1.%2.%3.%4.%5.%6.%7.%8.%9."/>
      <w:lvlJc w:val="left"/>
      <w:pPr>
        <w:ind w:left="3768" w:hanging="2880"/>
      </w:pPr>
      <w:rPr>
        <w:rFonts w:hint="default"/>
      </w:rPr>
    </w:lvl>
  </w:abstractNum>
  <w:abstractNum w:abstractNumId="19" w15:restartNumberingAfterBreak="0">
    <w:nsid w:val="781167B7"/>
    <w:multiLevelType w:val="hybridMultilevel"/>
    <w:tmpl w:val="43940860"/>
    <w:lvl w:ilvl="0" w:tplc="ACEA31CA">
      <w:start w:val="1"/>
      <w:numFmt w:val="bullet"/>
      <w:lvlText w:val="­"/>
      <w:lvlJc w:val="left"/>
      <w:pPr>
        <w:ind w:left="720" w:hanging="360"/>
      </w:pPr>
      <w:rPr>
        <w:rFonts w:ascii="Calibri" w:hAnsi="Calibri"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DA739CB"/>
    <w:multiLevelType w:val="hybridMultilevel"/>
    <w:tmpl w:val="C798B9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18"/>
  </w:num>
  <w:num w:numId="5">
    <w:abstractNumId w:val="10"/>
  </w:num>
  <w:num w:numId="6">
    <w:abstractNumId w:val="1"/>
  </w:num>
  <w:num w:numId="7">
    <w:abstractNumId w:val="5"/>
  </w:num>
  <w:num w:numId="8">
    <w:abstractNumId w:val="0"/>
  </w:num>
  <w:num w:numId="9">
    <w:abstractNumId w:val="20"/>
  </w:num>
  <w:num w:numId="10">
    <w:abstractNumId w:val="7"/>
  </w:num>
  <w:num w:numId="11">
    <w:abstractNumId w:val="9"/>
  </w:num>
  <w:num w:numId="12">
    <w:abstractNumId w:val="11"/>
  </w:num>
  <w:num w:numId="13">
    <w:abstractNumId w:val="4"/>
  </w:num>
  <w:num w:numId="14">
    <w:abstractNumId w:val="3"/>
  </w:num>
  <w:num w:numId="15">
    <w:abstractNumId w:val="2"/>
  </w:num>
  <w:num w:numId="16">
    <w:abstractNumId w:val="19"/>
  </w:num>
  <w:num w:numId="17">
    <w:abstractNumId w:val="8"/>
  </w:num>
  <w:num w:numId="18">
    <w:abstractNumId w:val="14"/>
  </w:num>
  <w:num w:numId="19">
    <w:abstractNumId w:val="1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98"/>
    <w:rsid w:val="00035747"/>
    <w:rsid w:val="000D4C3F"/>
    <w:rsid w:val="000E195F"/>
    <w:rsid w:val="001156E0"/>
    <w:rsid w:val="00120910"/>
    <w:rsid w:val="00135FF3"/>
    <w:rsid w:val="00174646"/>
    <w:rsid w:val="001819BB"/>
    <w:rsid w:val="00192BA4"/>
    <w:rsid w:val="001D08E5"/>
    <w:rsid w:val="001E54ED"/>
    <w:rsid w:val="00211B59"/>
    <w:rsid w:val="00250A1F"/>
    <w:rsid w:val="00253C36"/>
    <w:rsid w:val="00263E90"/>
    <w:rsid w:val="002C675E"/>
    <w:rsid w:val="002E7684"/>
    <w:rsid w:val="0034148B"/>
    <w:rsid w:val="00360122"/>
    <w:rsid w:val="00365BDD"/>
    <w:rsid w:val="003B6C96"/>
    <w:rsid w:val="003D38DD"/>
    <w:rsid w:val="003F3FBD"/>
    <w:rsid w:val="00430F75"/>
    <w:rsid w:val="004A3FC5"/>
    <w:rsid w:val="004B4849"/>
    <w:rsid w:val="00571DBA"/>
    <w:rsid w:val="005D622B"/>
    <w:rsid w:val="00635BE7"/>
    <w:rsid w:val="00690898"/>
    <w:rsid w:val="006963A0"/>
    <w:rsid w:val="006B1DF6"/>
    <w:rsid w:val="006C45AC"/>
    <w:rsid w:val="006E0E40"/>
    <w:rsid w:val="007117E1"/>
    <w:rsid w:val="00732C2F"/>
    <w:rsid w:val="00782C40"/>
    <w:rsid w:val="00824BA1"/>
    <w:rsid w:val="00886091"/>
    <w:rsid w:val="008E37EE"/>
    <w:rsid w:val="008E7422"/>
    <w:rsid w:val="00907D7F"/>
    <w:rsid w:val="009572E9"/>
    <w:rsid w:val="00992E07"/>
    <w:rsid w:val="009967F6"/>
    <w:rsid w:val="009E3D59"/>
    <w:rsid w:val="00A24200"/>
    <w:rsid w:val="00A44E4B"/>
    <w:rsid w:val="00AC6B48"/>
    <w:rsid w:val="00C7001A"/>
    <w:rsid w:val="00C87320"/>
    <w:rsid w:val="00CA1AEB"/>
    <w:rsid w:val="00D0017E"/>
    <w:rsid w:val="00D11637"/>
    <w:rsid w:val="00D72E87"/>
    <w:rsid w:val="00D859B4"/>
    <w:rsid w:val="00DD0DCF"/>
    <w:rsid w:val="00E04127"/>
    <w:rsid w:val="00E2367E"/>
    <w:rsid w:val="00ED0F0A"/>
    <w:rsid w:val="00ED348A"/>
    <w:rsid w:val="00EE45DA"/>
    <w:rsid w:val="00EE57DF"/>
    <w:rsid w:val="00F77EEB"/>
    <w:rsid w:val="00F837B9"/>
    <w:rsid w:val="00FE6B6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4443"/>
  <w15:docId w15:val="{DFFC072B-A3C2-4D24-AD62-EF1954CD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98"/>
    <w:pPr>
      <w:spacing w:after="0" w:line="240" w:lineRule="auto"/>
    </w:pPr>
    <w:rPr>
      <w:rFonts w:ascii="CC-Palatino" w:eastAsia="Times New Roman" w:hAnsi="CC-Palatino" w:cs="Times New Roman"/>
      <w:sz w:val="24"/>
      <w:szCs w:val="20"/>
      <w:lang w:val="en-US"/>
    </w:rPr>
  </w:style>
  <w:style w:type="paragraph" w:styleId="Heading1">
    <w:name w:val="heading 1"/>
    <w:basedOn w:val="Normal"/>
    <w:next w:val="Normal"/>
    <w:link w:val="Heading1Char"/>
    <w:qFormat/>
    <w:rsid w:val="00690898"/>
    <w:pPr>
      <w:keepNext/>
      <w:outlineLvl w:val="0"/>
    </w:pPr>
    <w:rPr>
      <w:rFonts w:ascii="Arial" w:hAnsi="Arial"/>
      <w:b/>
    </w:rPr>
  </w:style>
  <w:style w:type="paragraph" w:styleId="Heading2">
    <w:name w:val="heading 2"/>
    <w:basedOn w:val="Normal"/>
    <w:next w:val="Normal"/>
    <w:link w:val="Heading2Char"/>
    <w:qFormat/>
    <w:rsid w:val="00690898"/>
    <w:pPr>
      <w:keepNext/>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898"/>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690898"/>
    <w:rPr>
      <w:rFonts w:ascii="Arial" w:eastAsia="Times New Roman" w:hAnsi="Arial" w:cs="Times New Roman"/>
      <w:b/>
      <w:sz w:val="24"/>
      <w:szCs w:val="20"/>
      <w:lang w:val="en-US"/>
    </w:rPr>
  </w:style>
  <w:style w:type="paragraph" w:styleId="Header">
    <w:name w:val="header"/>
    <w:basedOn w:val="Normal"/>
    <w:link w:val="HeaderChar"/>
    <w:rsid w:val="00690898"/>
    <w:pPr>
      <w:tabs>
        <w:tab w:val="center" w:pos="4320"/>
        <w:tab w:val="right" w:pos="8640"/>
      </w:tabs>
    </w:pPr>
  </w:style>
  <w:style w:type="character" w:customStyle="1" w:styleId="HeaderChar">
    <w:name w:val="Header Char"/>
    <w:basedOn w:val="DefaultParagraphFont"/>
    <w:link w:val="Header"/>
    <w:rsid w:val="00690898"/>
    <w:rPr>
      <w:rFonts w:ascii="CC-Palatino" w:eastAsia="Times New Roman" w:hAnsi="CC-Palatino" w:cs="Times New Roman"/>
      <w:sz w:val="24"/>
      <w:szCs w:val="20"/>
      <w:lang w:val="en-US"/>
    </w:rPr>
  </w:style>
  <w:style w:type="paragraph" w:styleId="Footer">
    <w:name w:val="footer"/>
    <w:basedOn w:val="Normal"/>
    <w:link w:val="FooterChar"/>
    <w:rsid w:val="00690898"/>
    <w:pPr>
      <w:tabs>
        <w:tab w:val="center" w:pos="4320"/>
        <w:tab w:val="right" w:pos="8640"/>
      </w:tabs>
    </w:pPr>
  </w:style>
  <w:style w:type="character" w:customStyle="1" w:styleId="FooterChar">
    <w:name w:val="Footer Char"/>
    <w:basedOn w:val="DefaultParagraphFont"/>
    <w:link w:val="Footer"/>
    <w:rsid w:val="00690898"/>
    <w:rPr>
      <w:rFonts w:ascii="CC-Palatino" w:eastAsia="Times New Roman" w:hAnsi="CC-Palatino" w:cs="Times New Roman"/>
      <w:sz w:val="24"/>
      <w:szCs w:val="20"/>
      <w:lang w:val="en-US"/>
    </w:rPr>
  </w:style>
  <w:style w:type="paragraph" w:styleId="BodyText">
    <w:name w:val="Body Text"/>
    <w:basedOn w:val="Normal"/>
    <w:link w:val="BodyTextChar"/>
    <w:rsid w:val="00690898"/>
    <w:rPr>
      <w:rFonts w:ascii="Arial" w:hAnsi="Arial"/>
      <w:sz w:val="22"/>
    </w:rPr>
  </w:style>
  <w:style w:type="character" w:customStyle="1" w:styleId="BodyTextChar">
    <w:name w:val="Body Text Char"/>
    <w:basedOn w:val="DefaultParagraphFont"/>
    <w:link w:val="BodyText"/>
    <w:rsid w:val="00690898"/>
    <w:rPr>
      <w:rFonts w:ascii="Arial" w:eastAsia="Times New Roman" w:hAnsi="Arial" w:cs="Times New Roman"/>
      <w:szCs w:val="20"/>
      <w:lang w:val="en-US"/>
    </w:rPr>
  </w:style>
  <w:style w:type="paragraph" w:styleId="BodyText2">
    <w:name w:val="Body Text 2"/>
    <w:basedOn w:val="Normal"/>
    <w:link w:val="BodyText2Char"/>
    <w:rsid w:val="00690898"/>
    <w:pPr>
      <w:jc w:val="both"/>
    </w:pPr>
    <w:rPr>
      <w:rFonts w:ascii="Arial" w:hAnsi="Arial"/>
      <w:sz w:val="22"/>
    </w:rPr>
  </w:style>
  <w:style w:type="character" w:customStyle="1" w:styleId="BodyText2Char">
    <w:name w:val="Body Text 2 Char"/>
    <w:basedOn w:val="DefaultParagraphFont"/>
    <w:link w:val="BodyText2"/>
    <w:rsid w:val="00690898"/>
    <w:rPr>
      <w:rFonts w:ascii="Arial" w:eastAsia="Times New Roman" w:hAnsi="Arial" w:cs="Times New Roman"/>
      <w:szCs w:val="20"/>
      <w:lang w:val="en-US"/>
    </w:rPr>
  </w:style>
  <w:style w:type="character" w:styleId="PageNumber">
    <w:name w:val="page number"/>
    <w:basedOn w:val="DefaultParagraphFont"/>
    <w:rsid w:val="00690898"/>
  </w:style>
  <w:style w:type="character" w:styleId="Hyperlink">
    <w:name w:val="Hyperlink"/>
    <w:rsid w:val="00690898"/>
    <w:rPr>
      <w:color w:val="0000FF"/>
      <w:u w:val="single"/>
    </w:rPr>
  </w:style>
  <w:style w:type="paragraph" w:customStyle="1" w:styleId="FR2">
    <w:name w:val="FR2"/>
    <w:rsid w:val="00690898"/>
    <w:pPr>
      <w:widowControl w:val="0"/>
      <w:autoSpaceDE w:val="0"/>
      <w:autoSpaceDN w:val="0"/>
      <w:adjustRightInd w:val="0"/>
      <w:spacing w:before="240" w:after="0" w:line="240" w:lineRule="auto"/>
      <w:jc w:val="both"/>
    </w:pPr>
    <w:rPr>
      <w:rFonts w:ascii="Arial" w:eastAsia="Times New Roman" w:hAnsi="Arial" w:cs="Arial"/>
      <w:sz w:val="24"/>
      <w:szCs w:val="24"/>
      <w:lang w:val="hr-HR" w:eastAsia="hr-HR"/>
    </w:rPr>
  </w:style>
  <w:style w:type="character" w:styleId="Emphasis">
    <w:name w:val="Emphasis"/>
    <w:qFormat/>
    <w:rsid w:val="00690898"/>
    <w:rPr>
      <w:i/>
      <w:iCs/>
    </w:rPr>
  </w:style>
  <w:style w:type="paragraph" w:customStyle="1" w:styleId="Default">
    <w:name w:val="Default"/>
    <w:rsid w:val="00690898"/>
    <w:pPr>
      <w:autoSpaceDE w:val="0"/>
      <w:autoSpaceDN w:val="0"/>
      <w:adjustRightInd w:val="0"/>
      <w:spacing w:after="0" w:line="240" w:lineRule="auto"/>
    </w:pPr>
    <w:rPr>
      <w:rFonts w:ascii="Arial" w:eastAsia="Times New Roman" w:hAnsi="Arial" w:cs="Arial"/>
      <w:color w:val="000000"/>
      <w:sz w:val="24"/>
      <w:szCs w:val="24"/>
      <w:lang w:eastAsia="bs-Latn-BA"/>
    </w:rPr>
  </w:style>
  <w:style w:type="paragraph" w:styleId="BalloonText">
    <w:name w:val="Balloon Text"/>
    <w:basedOn w:val="Normal"/>
    <w:link w:val="BalloonTextChar"/>
    <w:uiPriority w:val="99"/>
    <w:semiHidden/>
    <w:unhideWhenUsed/>
    <w:rsid w:val="00690898"/>
    <w:rPr>
      <w:rFonts w:ascii="Tahoma" w:hAnsi="Tahoma" w:cs="Tahoma"/>
      <w:sz w:val="16"/>
      <w:szCs w:val="16"/>
    </w:rPr>
  </w:style>
  <w:style w:type="character" w:customStyle="1" w:styleId="BalloonTextChar">
    <w:name w:val="Balloon Text Char"/>
    <w:basedOn w:val="DefaultParagraphFont"/>
    <w:link w:val="BalloonText"/>
    <w:uiPriority w:val="99"/>
    <w:semiHidden/>
    <w:rsid w:val="00690898"/>
    <w:rPr>
      <w:rFonts w:ascii="Tahoma" w:eastAsia="Times New Roman" w:hAnsi="Tahoma" w:cs="Tahoma"/>
      <w:sz w:val="16"/>
      <w:szCs w:val="16"/>
      <w:lang w:val="en-US"/>
    </w:rPr>
  </w:style>
  <w:style w:type="character" w:customStyle="1" w:styleId="apple-converted-space">
    <w:name w:val="apple-converted-space"/>
    <w:basedOn w:val="DefaultParagraphFont"/>
    <w:rsid w:val="001E54ED"/>
  </w:style>
  <w:style w:type="paragraph" w:styleId="ListParagraph">
    <w:name w:val="List Paragraph"/>
    <w:basedOn w:val="Normal"/>
    <w:uiPriority w:val="34"/>
    <w:qFormat/>
    <w:rsid w:val="00CA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904">
      <w:bodyDiv w:val="1"/>
      <w:marLeft w:val="0"/>
      <w:marRight w:val="0"/>
      <w:marTop w:val="0"/>
      <w:marBottom w:val="0"/>
      <w:divBdr>
        <w:top w:val="none" w:sz="0" w:space="0" w:color="auto"/>
        <w:left w:val="none" w:sz="0" w:space="0" w:color="auto"/>
        <w:bottom w:val="none" w:sz="0" w:space="0" w:color="auto"/>
        <w:right w:val="none" w:sz="0" w:space="0" w:color="auto"/>
      </w:divBdr>
    </w:div>
    <w:div w:id="14840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2020/8_A_PR~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jcomic</dc:creator>
  <cp:lastModifiedBy>Suada</cp:lastModifiedBy>
  <cp:revision>3</cp:revision>
  <cp:lastPrinted>2015-11-05T10:33:00Z</cp:lastPrinted>
  <dcterms:created xsi:type="dcterms:W3CDTF">2021-01-18T11:10:00Z</dcterms:created>
  <dcterms:modified xsi:type="dcterms:W3CDTF">2021-01-18T11:12:00Z</dcterms:modified>
</cp:coreProperties>
</file>